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350AF" w14:textId="77777777" w:rsidR="003D35C2" w:rsidRDefault="003D35C2">
      <w:pPr>
        <w:keepNext/>
        <w:pBdr>
          <w:top w:val="nil"/>
          <w:left w:val="nil"/>
          <w:bottom w:val="nil"/>
          <w:right w:val="nil"/>
          <w:between w:val="nil"/>
        </w:pBdr>
        <w:ind w:left="0"/>
        <w:jc w:val="left"/>
        <w:rPr>
          <w:b/>
          <w:color w:val="000000"/>
          <w:sz w:val="32"/>
          <w:szCs w:val="32"/>
        </w:rPr>
      </w:pPr>
      <w:bookmarkStart w:id="0" w:name="_heading=h.ihv636" w:colFirst="0" w:colLast="0"/>
      <w:bookmarkEnd w:id="0"/>
    </w:p>
    <w:p w14:paraId="37EB3F4A" w14:textId="77777777" w:rsidR="003D35C2" w:rsidRDefault="00B33D10">
      <w:pPr>
        <w:keepNext/>
        <w:pBdr>
          <w:top w:val="nil"/>
          <w:left w:val="nil"/>
          <w:bottom w:val="nil"/>
          <w:right w:val="nil"/>
          <w:between w:val="nil"/>
        </w:pBdr>
        <w:ind w:left="0"/>
        <w:jc w:val="left"/>
        <w:rPr>
          <w:b/>
          <w:color w:val="000000"/>
          <w:sz w:val="36"/>
          <w:szCs w:val="36"/>
        </w:rPr>
      </w:pPr>
      <w:r>
        <w:rPr>
          <w:b/>
          <w:color w:val="000000"/>
          <w:sz w:val="36"/>
          <w:szCs w:val="36"/>
        </w:rPr>
        <w:t>Call-Off Schedule 24 (Corporate Resolution Planning)</w:t>
      </w:r>
    </w:p>
    <w:p w14:paraId="56E7BB12" w14:textId="77777777" w:rsidR="003D35C2" w:rsidRDefault="00B33D10">
      <w:pPr>
        <w:keepNext/>
        <w:numPr>
          <w:ilvl w:val="0"/>
          <w:numId w:val="5"/>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eastAsia="Arial"/>
          <w:b/>
          <w:color w:val="000000"/>
          <w:sz w:val="24"/>
          <w:szCs w:val="24"/>
        </w:rPr>
        <w:t>efinitions</w:t>
      </w:r>
    </w:p>
    <w:p w14:paraId="13007C6E" w14:textId="77777777" w:rsidR="003D35C2" w:rsidRDefault="00B33D10">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3D35C2" w14:paraId="00B2CF56" w14:textId="77777777">
        <w:tc>
          <w:tcPr>
            <w:tcW w:w="3097" w:type="dxa"/>
          </w:tcPr>
          <w:p w14:paraId="14B2481A"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"Accounting Reference Date"</w:t>
            </w:r>
          </w:p>
        </w:tc>
        <w:tc>
          <w:tcPr>
            <w:tcW w:w="5075" w:type="dxa"/>
          </w:tcPr>
          <w:p w14:paraId="1684D382" w14:textId="77777777" w:rsidR="003D35C2" w:rsidRDefault="00B33D10">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in each year the date to which the Supplier prepares its annual audited financial statements;</w:t>
            </w:r>
          </w:p>
        </w:tc>
      </w:tr>
      <w:tr w:rsidR="003D35C2" w14:paraId="2A550EDF" w14:textId="77777777">
        <w:tc>
          <w:tcPr>
            <w:tcW w:w="3097" w:type="dxa"/>
          </w:tcPr>
          <w:p w14:paraId="66C8D70E"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“Annual Revenue”</w:t>
            </w:r>
          </w:p>
        </w:tc>
        <w:tc>
          <w:tcPr>
            <w:tcW w:w="5075" w:type="dxa"/>
          </w:tcPr>
          <w:p w14:paraId="41EF127F" w14:textId="77777777" w:rsidR="003D35C2" w:rsidRDefault="00B33D10">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for the purposes of determining whether an entity is a Public Sector Dependent Supplier, the audited consolidated aggregate revenue</w:t>
            </w:r>
            <w:r>
              <w:rPr>
                <w:rFonts w:ascii="Arial" w:eastAsia="Arial" w:hAnsi="Arial" w:cs="Arial"/>
                <w:sz w:val="24"/>
                <w:szCs w:val="24"/>
              </w:rPr>
              <w:t xml:space="preserve"> (including share of revenue of joint ventures and Associates) reported by the Supplier or, as appropriate, the Supplier Group in its most recent published accounts, subject to the following methodology:</w:t>
            </w:r>
          </w:p>
          <w:p w14:paraId="0BA57259" w14:textId="77777777" w:rsidR="003D35C2" w:rsidRDefault="00B33D10">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 xml:space="preserve">figures for accounting periods of other than 12 months should be scaled pro rata to produce a proforma figure for a </w:t>
            </w:r>
            <w:proofErr w:type="gramStart"/>
            <w:r>
              <w:rPr>
                <w:rFonts w:ascii="Arial" w:eastAsia="Arial" w:hAnsi="Arial" w:cs="Arial"/>
                <w:sz w:val="24"/>
                <w:szCs w:val="24"/>
              </w:rPr>
              <w:t>12 month</w:t>
            </w:r>
            <w:proofErr w:type="gramEnd"/>
            <w:r>
              <w:rPr>
                <w:rFonts w:ascii="Arial" w:eastAsia="Arial" w:hAnsi="Arial" w:cs="Arial"/>
                <w:sz w:val="24"/>
                <w:szCs w:val="24"/>
              </w:rPr>
              <w:t xml:space="preserve"> period; and</w:t>
            </w:r>
          </w:p>
          <w:p w14:paraId="65207C7F"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where the Supplier, the Supplier Group and/or their joint ventures and Associates report in a foreign currency, revenue</w:t>
            </w:r>
            <w:r>
              <w:rPr>
                <w:rFonts w:ascii="Arial" w:eastAsia="Arial" w:hAnsi="Arial" w:cs="Arial"/>
                <w:sz w:val="24"/>
                <w:szCs w:val="24"/>
              </w:rPr>
              <w:t xml:space="preserve"> should be converted to British Pound Sterling at the closing exchange rate on the Accounting Reference Date;</w:t>
            </w:r>
          </w:p>
        </w:tc>
      </w:tr>
      <w:tr w:rsidR="003D35C2" w14:paraId="08ACBA80" w14:textId="77777777">
        <w:tc>
          <w:tcPr>
            <w:tcW w:w="3097" w:type="dxa"/>
          </w:tcPr>
          <w:p w14:paraId="1C2848B8"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“Appropriate Authority” or “Appropriate Authorities”</w:t>
            </w:r>
          </w:p>
        </w:tc>
        <w:tc>
          <w:tcPr>
            <w:tcW w:w="5075" w:type="dxa"/>
          </w:tcPr>
          <w:p w14:paraId="507A8E2A" w14:textId="77777777" w:rsidR="003D35C2" w:rsidRDefault="00B33D10">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3D35C2" w14:paraId="3AF0E978" w14:textId="77777777">
        <w:tc>
          <w:tcPr>
            <w:tcW w:w="3097" w:type="dxa"/>
          </w:tcPr>
          <w:p w14:paraId="657B80C9"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"Cabinet Office Markets and Suppliers Team"</w:t>
            </w:r>
          </w:p>
        </w:tc>
        <w:tc>
          <w:tcPr>
            <w:tcW w:w="5075" w:type="dxa"/>
          </w:tcPr>
          <w:p w14:paraId="4E089960"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UK Government’s team responsible for managing the relationship between government and its Strategic Suppliers, or any replacement or successor body carrying out the same function;</w:t>
            </w:r>
          </w:p>
        </w:tc>
      </w:tr>
      <w:tr w:rsidR="003D35C2" w14:paraId="240C9C74" w14:textId="77777777">
        <w:tc>
          <w:tcPr>
            <w:tcW w:w="3097" w:type="dxa"/>
          </w:tcPr>
          <w:p w14:paraId="47396228"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“Class 1 Transaction”</w:t>
            </w:r>
          </w:p>
        </w:tc>
        <w:tc>
          <w:tcPr>
            <w:tcW w:w="5075" w:type="dxa"/>
          </w:tcPr>
          <w:p w14:paraId="7F776FE5"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set out in the listing rules issued by the UK Listing Authority;</w:t>
            </w:r>
          </w:p>
        </w:tc>
      </w:tr>
      <w:tr w:rsidR="003D35C2" w14:paraId="36C78DF9" w14:textId="77777777">
        <w:tc>
          <w:tcPr>
            <w:tcW w:w="3097" w:type="dxa"/>
          </w:tcPr>
          <w:p w14:paraId="12DAD626"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“Control”</w:t>
            </w:r>
          </w:p>
        </w:tc>
        <w:tc>
          <w:tcPr>
            <w:tcW w:w="5075" w:type="dxa"/>
          </w:tcPr>
          <w:p w14:paraId="705638A2"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w:t>
            </w:r>
            <w:r>
              <w:rPr>
                <w:rFonts w:ascii="Arial" w:eastAsia="Arial" w:hAnsi="Arial" w:cs="Arial"/>
                <w:sz w:val="24"/>
                <w:szCs w:val="24"/>
              </w:rPr>
              <w:t>h the ownership of voting shares, by contract or otherwise) and “Controls” and “Controlled” shall be interpreted accordingly;</w:t>
            </w:r>
          </w:p>
        </w:tc>
      </w:tr>
      <w:tr w:rsidR="003D35C2" w14:paraId="0AF54FF4" w14:textId="77777777">
        <w:tc>
          <w:tcPr>
            <w:tcW w:w="3097" w:type="dxa"/>
          </w:tcPr>
          <w:p w14:paraId="209E4B52"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“Corporate Change Event”</w:t>
            </w:r>
          </w:p>
        </w:tc>
        <w:tc>
          <w:tcPr>
            <w:tcW w:w="5075" w:type="dxa"/>
          </w:tcPr>
          <w:p w14:paraId="73BC55AA" w14:textId="77777777" w:rsidR="003D35C2" w:rsidRDefault="00B33D10">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1B2F4289"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any change of Control of the Supplier or a Parent Undertaking of the Supplier;</w:t>
            </w:r>
          </w:p>
          <w:p w14:paraId="7F184B45"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620C9D89"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any change to</w:t>
            </w:r>
            <w:r>
              <w:rPr>
                <w:rFonts w:ascii="Arial" w:eastAsia="Arial" w:hAnsi="Arial" w:cs="Arial"/>
                <w:color w:val="000000"/>
                <w:sz w:val="24"/>
                <w:szCs w:val="24"/>
              </w:rPr>
              <w:t xml:space="preserve"> the business of the Supplier or any member of the Supplier Group which, in the reasonable opinion of the Buyer, could have a material adverse effect on the Deliverables;</w:t>
            </w:r>
          </w:p>
          <w:p w14:paraId="19047A32"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a Class 1 Transaction taking place in relation to the shares of the Supplier or any P</w:t>
            </w:r>
            <w:r>
              <w:rPr>
                <w:rFonts w:ascii="Arial" w:eastAsia="Arial" w:hAnsi="Arial" w:cs="Arial"/>
                <w:color w:val="000000"/>
                <w:sz w:val="24"/>
                <w:szCs w:val="24"/>
              </w:rPr>
              <w:t>arent Undertaking of the Supplier whose shares are listed on the main market of the London Stock Exchange plc;</w:t>
            </w:r>
          </w:p>
          <w:p w14:paraId="5BD09971"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w:t>
            </w:r>
            <w:r>
              <w:rPr>
                <w:rFonts w:ascii="Arial" w:eastAsia="Arial" w:hAnsi="Arial" w:cs="Arial"/>
                <w:color w:val="000000"/>
                <w:sz w:val="24"/>
                <w:szCs w:val="24"/>
              </w:rPr>
              <w:t>ertaking of the Supplier;</w:t>
            </w:r>
          </w:p>
          <w:p w14:paraId="6C9B769D"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w:t>
            </w:r>
            <w:r>
              <w:rPr>
                <w:rFonts w:ascii="Arial" w:eastAsia="Arial" w:hAnsi="Arial" w:cs="Arial"/>
                <w:color w:val="000000"/>
                <w:sz w:val="24"/>
                <w:szCs w:val="24"/>
              </w:rPr>
              <w:t>th</w:t>
            </w:r>
            <w:proofErr w:type="gramEnd"/>
            <w:r>
              <w:rPr>
                <w:rFonts w:ascii="Arial" w:eastAsia="Arial" w:hAnsi="Arial" w:cs="Arial"/>
                <w:color w:val="000000"/>
                <w:sz w:val="24"/>
                <w:szCs w:val="24"/>
              </w:rPr>
              <w:t xml:space="preserve"> period;</w:t>
            </w:r>
          </w:p>
          <w:p w14:paraId="23225AD3"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14:paraId="780318CE"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w:t>
            </w:r>
            <w:r>
              <w:rPr>
                <w:rFonts w:ascii="Arial" w:eastAsia="Arial" w:hAnsi="Arial" w:cs="Arial"/>
                <w:color w:val="000000"/>
                <w:sz w:val="24"/>
                <w:szCs w:val="24"/>
              </w:rPr>
              <w:t xml:space="preserve">tion 123(1) of the Insolvency Act 1986 or any member of the Supplier Group ceasing to carry on all or substantially all its business, or any compromise, composition, arrangement or agreement </w:t>
            </w:r>
            <w:r>
              <w:rPr>
                <w:rFonts w:ascii="Arial" w:eastAsia="Arial" w:hAnsi="Arial" w:cs="Arial"/>
                <w:color w:val="000000"/>
                <w:sz w:val="24"/>
                <w:szCs w:val="24"/>
              </w:rPr>
              <w:lastRenderedPageBreak/>
              <w:t>being made with creditors of any member of the Supplier Group;</w:t>
            </w:r>
          </w:p>
          <w:p w14:paraId="29DB93F8" w14:textId="77777777" w:rsidR="003D35C2" w:rsidRDefault="00B33D10">
            <w:pPr>
              <w:numPr>
                <w:ilvl w:val="3"/>
                <w:numId w:val="5"/>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th</w:t>
            </w:r>
            <w:r>
              <w:rPr>
                <w:rFonts w:ascii="Arial" w:eastAsia="Arial" w:hAnsi="Arial" w:cs="Arial"/>
                <w:color w:val="000000"/>
                <w:sz w:val="24"/>
                <w:szCs w:val="24"/>
              </w:rPr>
              <w:t>e appointment of a receiver, administrative receiver or administrator in respect of or over all or a material part of the undertaking or assets of any member of the Supplier Group; and/or</w:t>
            </w:r>
          </w:p>
          <w:p w14:paraId="67C851C1" w14:textId="77777777" w:rsidR="003D35C2" w:rsidRDefault="00B33D10">
            <w:pPr>
              <w:numPr>
                <w:ilvl w:val="3"/>
                <w:numId w:val="5"/>
              </w:numPr>
              <w:pBdr>
                <w:top w:val="nil"/>
                <w:left w:val="nil"/>
                <w:bottom w:val="nil"/>
                <w:right w:val="nil"/>
                <w:between w:val="nil"/>
              </w:pBdr>
              <w:spacing w:after="200"/>
              <w:ind w:left="0" w:firstLine="0"/>
              <w:jc w:val="left"/>
              <w:rPr>
                <w:sz w:val="24"/>
                <w:szCs w:val="24"/>
              </w:rPr>
            </w:pPr>
            <w:r>
              <w:rPr>
                <w:rFonts w:ascii="Arial" w:eastAsia="Arial" w:hAnsi="Arial" w:cs="Arial"/>
                <w:color w:val="000000"/>
                <w:sz w:val="24"/>
                <w:szCs w:val="24"/>
              </w:rPr>
              <w:t>any process or events with an effect analogous to those in paragraph</w:t>
            </w:r>
            <w:r>
              <w:rPr>
                <w:rFonts w:ascii="Arial" w:eastAsia="Arial" w:hAnsi="Arial" w:cs="Arial"/>
                <w:color w:val="000000"/>
                <w:sz w:val="24"/>
                <w:szCs w:val="24"/>
              </w:rPr>
              <w:t>s (e) to (g) inclusive above occurring to a member of the Supplier Group in a jurisdiction outside England and Wales;</w:t>
            </w:r>
          </w:p>
        </w:tc>
      </w:tr>
      <w:tr w:rsidR="003D35C2" w14:paraId="083F18D7" w14:textId="77777777">
        <w:tc>
          <w:tcPr>
            <w:tcW w:w="3097" w:type="dxa"/>
          </w:tcPr>
          <w:p w14:paraId="0008FA45"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"Corporate Change Event Grace Period"</w:t>
            </w:r>
          </w:p>
        </w:tc>
        <w:tc>
          <w:tcPr>
            <w:tcW w:w="5075" w:type="dxa"/>
          </w:tcPr>
          <w:p w14:paraId="7375C623" w14:textId="77777777" w:rsidR="003D35C2" w:rsidRDefault="00B33D10">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 xml:space="preserve">means a grace period agreed to by the Appropriate Authority for providing CRP Information and/or updates to </w:t>
            </w:r>
            <w:proofErr w:type="gramStart"/>
            <w:r>
              <w:rPr>
                <w:rFonts w:ascii="Arial" w:eastAsia="Arial" w:hAnsi="Arial" w:cs="Arial"/>
                <w:sz w:val="24"/>
                <w:szCs w:val="24"/>
              </w:rPr>
              <w:t>Business  Continuity</w:t>
            </w:r>
            <w:proofErr w:type="gramEnd"/>
            <w:r>
              <w:rPr>
                <w:rFonts w:ascii="Arial" w:eastAsia="Arial" w:hAnsi="Arial" w:cs="Arial"/>
                <w:sz w:val="24"/>
                <w:szCs w:val="24"/>
              </w:rPr>
              <w:t xml:space="preserve"> Plan after a Corporate Change Event;</w:t>
            </w:r>
          </w:p>
        </w:tc>
      </w:tr>
      <w:tr w:rsidR="003D35C2" w14:paraId="44A36FD7" w14:textId="77777777">
        <w:tc>
          <w:tcPr>
            <w:tcW w:w="3097" w:type="dxa"/>
          </w:tcPr>
          <w:p w14:paraId="77A8B569"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"Corporate Resolvability Assessment (Structural Review)"</w:t>
            </w:r>
          </w:p>
        </w:tc>
        <w:tc>
          <w:tcPr>
            <w:tcW w:w="5075" w:type="dxa"/>
          </w:tcPr>
          <w:p w14:paraId="1E447E06" w14:textId="77777777" w:rsidR="003D35C2" w:rsidRDefault="00B33D10">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part of the CRP Informatio</w:t>
            </w:r>
            <w:r>
              <w:rPr>
                <w:rFonts w:ascii="Arial" w:eastAsia="Arial" w:hAnsi="Arial" w:cs="Arial"/>
                <w:sz w:val="24"/>
                <w:szCs w:val="24"/>
              </w:rPr>
              <w:t>n relating to the Supplier Group to be provided by the Supplier in accordance with Paragraph 3 and Annex 2 of this Schedule;</w:t>
            </w:r>
          </w:p>
        </w:tc>
      </w:tr>
      <w:tr w:rsidR="003D35C2" w14:paraId="25535754" w14:textId="77777777">
        <w:tc>
          <w:tcPr>
            <w:tcW w:w="3097" w:type="dxa"/>
          </w:tcPr>
          <w:p w14:paraId="4D0665C5"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National Infrastructure” or “CNI”</w:t>
            </w:r>
          </w:p>
        </w:tc>
        <w:tc>
          <w:tcPr>
            <w:tcW w:w="5075" w:type="dxa"/>
          </w:tcPr>
          <w:p w14:paraId="097B082B" w14:textId="77777777" w:rsidR="003D35C2" w:rsidRDefault="00B33D10">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14:paraId="4FF505AE" w14:textId="77777777" w:rsidR="003D35C2" w:rsidRDefault="00B33D10">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w:t>
            </w:r>
            <w:r>
              <w:rPr>
                <w:rFonts w:ascii="Arial" w:eastAsia="Arial" w:hAnsi="Arial" w:cs="Arial"/>
                <w:sz w:val="24"/>
                <w:szCs w:val="24"/>
              </w:rPr>
              <w:t>l impacts; and/or</w:t>
            </w:r>
          </w:p>
          <w:p w14:paraId="05E7B690"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significant impact on the national security, national defence, or the functioning of the UK;</w:t>
            </w:r>
          </w:p>
        </w:tc>
      </w:tr>
      <w:tr w:rsidR="003D35C2" w14:paraId="1949916A" w14:textId="77777777">
        <w:tc>
          <w:tcPr>
            <w:tcW w:w="3097" w:type="dxa"/>
          </w:tcPr>
          <w:p w14:paraId="094A0105"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Service Contract”</w:t>
            </w:r>
          </w:p>
        </w:tc>
        <w:tc>
          <w:tcPr>
            <w:tcW w:w="5075" w:type="dxa"/>
          </w:tcPr>
          <w:p w14:paraId="7715C593"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overall status of the Services provided under the Contract as determined by the Buyer and specified in Paragraph 2 of this Schedule;</w:t>
            </w:r>
          </w:p>
        </w:tc>
      </w:tr>
      <w:tr w:rsidR="003D35C2" w14:paraId="5D261376" w14:textId="77777777">
        <w:tc>
          <w:tcPr>
            <w:tcW w:w="3097" w:type="dxa"/>
          </w:tcPr>
          <w:p w14:paraId="365C5079"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“CRP Information”</w:t>
            </w:r>
          </w:p>
        </w:tc>
        <w:tc>
          <w:tcPr>
            <w:tcW w:w="5075" w:type="dxa"/>
          </w:tcPr>
          <w:p w14:paraId="0E87F7F2" w14:textId="77777777" w:rsidR="003D35C2" w:rsidRDefault="00B33D10">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the corporate resolution planning information, together, the:</w:t>
            </w:r>
          </w:p>
          <w:p w14:paraId="113FA50E" w14:textId="77777777" w:rsidR="003D35C2" w:rsidRDefault="00B33D1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(a) Exposure Information (Contracts List);</w:t>
            </w:r>
          </w:p>
          <w:p w14:paraId="51ABCF05" w14:textId="77777777" w:rsidR="003D35C2" w:rsidRDefault="00B33D10">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(b) Corporate Resolvability Assessment (Structural Review); and</w:t>
            </w:r>
          </w:p>
          <w:p w14:paraId="4731D0DA"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(c) Financial Information and Commentary</w:t>
            </w:r>
          </w:p>
        </w:tc>
      </w:tr>
      <w:tr w:rsidR="003D35C2" w14:paraId="65831884" w14:textId="77777777">
        <w:tc>
          <w:tcPr>
            <w:tcW w:w="3097" w:type="dxa"/>
          </w:tcPr>
          <w:p w14:paraId="18C56EA9"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“Public Sector Dependent Supplier”</w:t>
            </w:r>
          </w:p>
        </w:tc>
        <w:tc>
          <w:tcPr>
            <w:tcW w:w="5075" w:type="dxa"/>
          </w:tcPr>
          <w:p w14:paraId="6933063C"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3D35C2" w14:paraId="0BC75EA2" w14:textId="77777777">
        <w:trPr>
          <w:trHeight w:val="567"/>
        </w:trPr>
        <w:tc>
          <w:tcPr>
            <w:tcW w:w="3097" w:type="dxa"/>
          </w:tcPr>
          <w:p w14:paraId="71506F4B"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“Strategic Supplier”</w:t>
            </w:r>
          </w:p>
        </w:tc>
        <w:tc>
          <w:tcPr>
            <w:tcW w:w="5075" w:type="dxa"/>
          </w:tcPr>
          <w:p w14:paraId="35CA8D4D" w14:textId="77777777" w:rsidR="003D35C2" w:rsidRDefault="00B33D10">
            <w:pPr>
              <w:tabs>
                <w:tab w:val="left" w:pos="-9"/>
              </w:tabs>
              <w:spacing w:after="120"/>
              <w:ind w:left="0"/>
              <w:jc w:val="left"/>
              <w:rPr>
                <w:rFonts w:ascii="Arial" w:eastAsia="Arial" w:hAnsi="Arial" w:cs="Arial"/>
                <w:sz w:val="24"/>
                <w:szCs w:val="24"/>
              </w:rPr>
            </w:pPr>
            <w:r>
              <w:rPr>
                <w:rFonts w:ascii="Arial" w:eastAsia="Arial" w:hAnsi="Arial" w:cs="Arial"/>
                <w:sz w:val="24"/>
                <w:szCs w:val="24"/>
              </w:rPr>
              <w:t>means those suppliers to government listed at</w:t>
            </w:r>
          </w:p>
          <w:p w14:paraId="369BA2F5" w14:textId="77777777" w:rsidR="003D35C2" w:rsidRDefault="00B33D10">
            <w:pPr>
              <w:tabs>
                <w:tab w:val="left" w:pos="-9"/>
              </w:tabs>
              <w:spacing w:after="120"/>
              <w:ind w:left="0"/>
              <w:jc w:val="left"/>
              <w:rPr>
                <w:rFonts w:ascii="Arial" w:eastAsia="Arial" w:hAnsi="Arial" w:cs="Arial"/>
                <w:sz w:val="24"/>
                <w:szCs w:val="24"/>
              </w:rPr>
            </w:pPr>
            <w:r>
              <w:rPr>
                <w:rFonts w:ascii="Arial" w:eastAsia="Arial" w:hAnsi="Arial" w:cs="Arial"/>
                <w:sz w:val="24"/>
                <w:szCs w:val="24"/>
              </w:rPr>
              <w:t>https://www.gov.uk/government/publications/strategic-suppliers;</w:t>
            </w:r>
          </w:p>
        </w:tc>
      </w:tr>
      <w:tr w:rsidR="003D35C2" w14:paraId="72FC00EA" w14:textId="77777777">
        <w:tc>
          <w:tcPr>
            <w:tcW w:w="3097" w:type="dxa"/>
          </w:tcPr>
          <w:p w14:paraId="7A862738"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Business”</w:t>
            </w:r>
          </w:p>
        </w:tc>
        <w:tc>
          <w:tcPr>
            <w:tcW w:w="5075" w:type="dxa"/>
          </w:tcPr>
          <w:p w14:paraId="079B7C4B"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w:t>
            </w:r>
            <w:r>
              <w:rPr>
                <w:rFonts w:ascii="Arial" w:eastAsia="Arial" w:hAnsi="Arial" w:cs="Arial"/>
                <w:sz w:val="24"/>
                <w:szCs w:val="24"/>
              </w:rPr>
              <w:t>ue, education bodies and devolved administrations; and</w:t>
            </w:r>
          </w:p>
        </w:tc>
      </w:tr>
      <w:tr w:rsidR="003D35C2" w14:paraId="23BBFE50" w14:textId="77777777">
        <w:tc>
          <w:tcPr>
            <w:tcW w:w="3097" w:type="dxa"/>
          </w:tcPr>
          <w:p w14:paraId="48BC0FA3" w14:textId="77777777" w:rsidR="003D35C2" w:rsidRDefault="00B33D10">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 CNI Contract Information”</w:t>
            </w:r>
          </w:p>
        </w:tc>
        <w:tc>
          <w:tcPr>
            <w:tcW w:w="5075" w:type="dxa"/>
          </w:tcPr>
          <w:p w14:paraId="71B0B927" w14:textId="77777777" w:rsidR="003D35C2" w:rsidRDefault="00B33D10">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information relating to the Supplier Group to be provided by the Supplier in accordance with Paragraphs 3 to 5 and Annex 1;</w:t>
            </w:r>
          </w:p>
        </w:tc>
      </w:tr>
    </w:tbl>
    <w:p w14:paraId="7E180153" w14:textId="77777777" w:rsidR="003D35C2" w:rsidRDefault="003D35C2">
      <w:pPr>
        <w:keepNext/>
        <w:pBdr>
          <w:top w:val="nil"/>
          <w:left w:val="nil"/>
          <w:bottom w:val="nil"/>
          <w:right w:val="nil"/>
          <w:between w:val="nil"/>
        </w:pBdr>
        <w:tabs>
          <w:tab w:val="left" w:pos="0"/>
        </w:tabs>
        <w:spacing w:before="240"/>
        <w:ind w:left="720"/>
        <w:jc w:val="left"/>
        <w:rPr>
          <w:rFonts w:eastAsia="Arial"/>
          <w:b/>
          <w:color w:val="000000"/>
          <w:sz w:val="24"/>
          <w:szCs w:val="24"/>
        </w:rPr>
      </w:pPr>
    </w:p>
    <w:p w14:paraId="79F7CB2E" w14:textId="77777777" w:rsidR="003D35C2" w:rsidRDefault="00B33D10">
      <w:pPr>
        <w:ind w:firstLine="1418"/>
        <w:rPr>
          <w:rFonts w:eastAsia="Arial"/>
          <w:b/>
          <w:color w:val="000000"/>
          <w:sz w:val="24"/>
          <w:szCs w:val="24"/>
        </w:rPr>
      </w:pPr>
      <w:r>
        <w:br w:type="page"/>
      </w:r>
    </w:p>
    <w:p w14:paraId="323A91A2" w14:textId="77777777" w:rsidR="003D35C2" w:rsidRDefault="003D35C2">
      <w:pPr>
        <w:ind w:left="0"/>
        <w:rPr>
          <w:color w:val="000000"/>
          <w:sz w:val="24"/>
          <w:szCs w:val="24"/>
        </w:rPr>
      </w:pPr>
    </w:p>
    <w:p w14:paraId="0BF1B950" w14:textId="77777777" w:rsidR="003D35C2" w:rsidRDefault="00B33D10">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14:paraId="535EF426"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14:paraId="7CC93795" w14:textId="77777777" w:rsidR="003D35C2" w:rsidRDefault="00B33D10">
      <w:pPr>
        <w:pBdr>
          <w:top w:val="nil"/>
          <w:left w:val="nil"/>
          <w:bottom w:val="nil"/>
          <w:right w:val="nil"/>
          <w:between w:val="nil"/>
        </w:pBdr>
        <w:spacing w:before="100" w:after="200"/>
        <w:ind w:left="720"/>
        <w:rPr>
          <w:rFonts w:eastAsia="Arial"/>
          <w:color w:val="000000"/>
          <w:sz w:val="24"/>
          <w:szCs w:val="24"/>
        </w:rPr>
      </w:pPr>
      <w:r>
        <w:rPr>
          <w:rFonts w:eastAsia="Arial"/>
          <w:b/>
          <w:i/>
          <w:color w:val="000000"/>
          <w:sz w:val="24"/>
          <w:szCs w:val="24"/>
          <w:highlight w:val="yellow"/>
        </w:rPr>
        <w:t xml:space="preserve">[Guidance: A Critical Service Contract is a service contract which the Buyer has categorised as a </w:t>
      </w:r>
      <w:proofErr w:type="gramStart"/>
      <w:r>
        <w:rPr>
          <w:rFonts w:eastAsia="Arial"/>
          <w:b/>
          <w:i/>
          <w:color w:val="000000"/>
          <w:sz w:val="24"/>
          <w:szCs w:val="24"/>
          <w:highlight w:val="yellow"/>
        </w:rPr>
        <w:t>Gold</w:t>
      </w:r>
      <w:proofErr w:type="gramEnd"/>
      <w:r>
        <w:rPr>
          <w:rFonts w:eastAsia="Arial"/>
          <w:b/>
          <w:i/>
          <w:color w:val="000000"/>
          <w:sz w:val="24"/>
          <w:szCs w:val="24"/>
          <w:highlight w:val="yellow"/>
        </w:rPr>
        <w:t xml:space="preserve"> contract using the Cabinet Office Contract Tiering Tool available on the Knowledge Hub or which the Buyer, in consultation with the Cabinet Office Market</w:t>
      </w:r>
      <w:r>
        <w:rPr>
          <w:rFonts w:eastAsia="Arial"/>
          <w:b/>
          <w:i/>
          <w:color w:val="000000"/>
          <w:sz w:val="24"/>
          <w:szCs w:val="24"/>
          <w:highlight w:val="yellow"/>
        </w:rPr>
        <w:t>s and Suppliers Team if appropriate, otherwise considers should be classed as a Critical Service Contract.]</w:t>
      </w:r>
    </w:p>
    <w:p w14:paraId="4E6650E7" w14:textId="77777777" w:rsidR="003D35C2" w:rsidRDefault="003D35C2">
      <w:pPr>
        <w:pBdr>
          <w:top w:val="nil"/>
          <w:left w:val="nil"/>
          <w:bottom w:val="nil"/>
          <w:right w:val="nil"/>
          <w:between w:val="nil"/>
        </w:pBdr>
        <w:spacing w:before="120" w:after="120"/>
        <w:ind w:left="720"/>
        <w:rPr>
          <w:color w:val="000000"/>
          <w:sz w:val="24"/>
          <w:szCs w:val="24"/>
        </w:rPr>
      </w:pPr>
    </w:p>
    <w:p w14:paraId="463A9ED6"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The Supplier shall notify the Buyer and the Cabinet Office Markets and Suppliers </w:t>
      </w:r>
      <w:r>
        <w:rPr>
          <w:sz w:val="24"/>
          <w:szCs w:val="24"/>
        </w:rPr>
        <w:t>Team</w:t>
      </w:r>
      <w:r>
        <w:rPr>
          <w:color w:val="000000"/>
          <w:sz w:val="24"/>
          <w:szCs w:val="24"/>
        </w:rPr>
        <w:t xml:space="preserve"> in writing within 5 Working Days of the Effective Date and th</w:t>
      </w:r>
      <w:r>
        <w:rPr>
          <w:color w:val="000000"/>
          <w:sz w:val="24"/>
          <w:szCs w:val="24"/>
        </w:rPr>
        <w:t xml:space="preserve">roughout the Call-Off Contract Period within 120 days after each Accounting Reference Date as to whether or not it is a Public Sector Dependent Supplier. The contact email address for the Markets and Suppliers Team is </w:t>
      </w:r>
      <w:hyperlink r:id="rId8">
        <w:r>
          <w:rPr>
            <w:color w:val="0000FF"/>
            <w:sz w:val="24"/>
            <w:szCs w:val="24"/>
            <w:u w:val="single"/>
          </w:rPr>
          <w:t>resolution.planning@cabinetoffice.gov.uk</w:t>
        </w:r>
      </w:hyperlink>
      <w:r>
        <w:rPr>
          <w:color w:val="000000"/>
          <w:sz w:val="24"/>
          <w:szCs w:val="24"/>
        </w:rPr>
        <w:t>.</w:t>
      </w:r>
    </w:p>
    <w:p w14:paraId="51EC4751"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078C484" w14:textId="77777777" w:rsidR="003D35C2" w:rsidRDefault="003D35C2">
      <w:pPr>
        <w:pBdr>
          <w:top w:val="nil"/>
          <w:left w:val="nil"/>
          <w:bottom w:val="nil"/>
          <w:right w:val="nil"/>
          <w:between w:val="nil"/>
        </w:pBdr>
        <w:spacing w:before="120" w:after="120"/>
        <w:ind w:left="720"/>
        <w:rPr>
          <w:color w:val="000000"/>
          <w:sz w:val="24"/>
          <w:szCs w:val="24"/>
        </w:rPr>
      </w:pPr>
    </w:p>
    <w:p w14:paraId="6417F0D7" w14:textId="77777777" w:rsidR="003D35C2" w:rsidRDefault="00B33D10">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14:paraId="057F4FBC"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Paragraphs 3 to 5 shall apply if the Contract has been specified as a Critical Service Contract under Paragraph 2.1 or the Supplier is or becomes a Public Sector Dependent Supplier.</w:t>
      </w:r>
    </w:p>
    <w:p w14:paraId="00229ACB"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Subject to Paragrap</w:t>
      </w:r>
      <w:r>
        <w:rPr>
          <w:color w:val="000000"/>
          <w:sz w:val="24"/>
          <w:szCs w:val="24"/>
        </w:rPr>
        <w:t>hs 3.6, 3.10 and 3.11:</w:t>
      </w:r>
    </w:p>
    <w:p w14:paraId="4A9919C3"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 with the CRP Information within 60 days of the Effective Date; and</w:t>
      </w:r>
    </w:p>
    <w:p w14:paraId="6E7E3AA2"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except where it has already been pr</w:t>
      </w:r>
      <w:r>
        <w:rPr>
          <w:sz w:val="24"/>
          <w:szCs w:val="24"/>
        </w:rPr>
        <w:t>ovided, where the Supplier is a Public Sector Dependent Supplier, it shall provide the Appropriate Authority or Appropriate Authorities with the CRP Information within 60 days of the date of the Appropriate Authority’s or Appropriate Authorities’ request.</w:t>
      </w:r>
    </w:p>
    <w:p w14:paraId="7B9C5D8C"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3.2, 3.8 and 3.9:</w:t>
      </w:r>
    </w:p>
    <w:p w14:paraId="38BDB813"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614B8040"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is split into three parts:</w:t>
      </w:r>
    </w:p>
    <w:p w14:paraId="2883FECD"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highlight w:val="yellow"/>
        </w:rPr>
        <w:t>Exposure Information (Contracts List</w:t>
      </w:r>
      <w:r>
        <w:rPr>
          <w:color w:val="000000"/>
          <w:sz w:val="24"/>
          <w:szCs w:val="24"/>
        </w:rPr>
        <w:t>);</w:t>
      </w:r>
    </w:p>
    <w:p w14:paraId="6AD2D95C"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highlight w:val="yellow"/>
        </w:rPr>
        <w:lastRenderedPageBreak/>
        <w:t>Corporate Resolvability Assessment (Structural Review)</w:t>
      </w:r>
      <w:r>
        <w:rPr>
          <w:color w:val="000000"/>
          <w:sz w:val="24"/>
          <w:szCs w:val="24"/>
        </w:rPr>
        <w:t>;</w:t>
      </w:r>
    </w:p>
    <w:p w14:paraId="35E984ED"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 </w:t>
      </w:r>
      <w:r>
        <w:rPr>
          <w:color w:val="000000"/>
          <w:sz w:val="24"/>
          <w:szCs w:val="24"/>
          <w:highlight w:val="yellow"/>
        </w:rPr>
        <w:t>Financial Information and Commentary</w:t>
      </w:r>
    </w:p>
    <w:p w14:paraId="5A9D3E28" w14:textId="77777777" w:rsidR="003D35C2" w:rsidRDefault="00B33D10">
      <w:pPr>
        <w:pBdr>
          <w:top w:val="nil"/>
          <w:left w:val="nil"/>
          <w:bottom w:val="nil"/>
          <w:right w:val="nil"/>
          <w:between w:val="nil"/>
        </w:pBdr>
        <w:spacing w:before="100" w:after="200"/>
        <w:rPr>
          <w:rFonts w:eastAsia="Arial"/>
          <w:color w:val="000000"/>
          <w:sz w:val="24"/>
          <w:szCs w:val="24"/>
        </w:rPr>
      </w:pPr>
      <w:r>
        <w:rPr>
          <w:rFonts w:eastAsia="Arial"/>
          <w:color w:val="000000"/>
          <w:sz w:val="24"/>
          <w:szCs w:val="24"/>
        </w:rPr>
        <w:t>and is structured and presented in accordance with the requirements and explanatory notes set out in the latest published version of the Resolution Planning Guida</w:t>
      </w:r>
      <w:r>
        <w:rPr>
          <w:rFonts w:eastAsia="Arial"/>
          <w:color w:val="000000"/>
          <w:sz w:val="24"/>
          <w:szCs w:val="24"/>
        </w:rPr>
        <w:t xml:space="preserve">nce Note published by the Cabinet Office Government Commercial Function and available at </w:t>
      </w:r>
      <w:hyperlink r:id="rId9">
        <w:r>
          <w:rPr>
            <w:rFonts w:eastAsia="Arial"/>
            <w:color w:val="0000FF"/>
            <w:sz w:val="24"/>
            <w:szCs w:val="24"/>
            <w:u w:val="single"/>
          </w:rPr>
          <w:t>https://www.gov.uk/government/publications/the-sourcing-and-consultancy-playbooks</w:t>
        </w:r>
      </w:hyperlink>
      <w:r>
        <w:rPr>
          <w:rFonts w:eastAsia="Arial"/>
          <w:color w:val="000000"/>
          <w:sz w:val="24"/>
          <w:szCs w:val="24"/>
        </w:rPr>
        <w:t xml:space="preserve"> and contains the level of detail required (adapted as necessary to the Supp</w:t>
      </w:r>
      <w:r>
        <w:rPr>
          <w:rFonts w:eastAsia="Arial"/>
          <w:color w:val="000000"/>
          <w:sz w:val="24"/>
          <w:szCs w:val="24"/>
        </w:rPr>
        <w:t>lier’s circumstances);</w:t>
      </w:r>
    </w:p>
    <w:p w14:paraId="5D665800" w14:textId="77777777" w:rsidR="003D35C2" w:rsidRDefault="003D35C2">
      <w:pPr>
        <w:pBdr>
          <w:top w:val="nil"/>
          <w:left w:val="nil"/>
          <w:bottom w:val="nil"/>
          <w:right w:val="nil"/>
          <w:between w:val="nil"/>
        </w:pBdr>
        <w:tabs>
          <w:tab w:val="left" w:pos="1985"/>
          <w:tab w:val="left" w:pos="2127"/>
        </w:tabs>
        <w:spacing w:before="120" w:after="120"/>
        <w:ind w:left="2127" w:hanging="709"/>
        <w:rPr>
          <w:color w:val="000000"/>
          <w:sz w:val="24"/>
          <w:szCs w:val="24"/>
        </w:rPr>
      </w:pPr>
    </w:p>
    <w:p w14:paraId="3A4ADF2D"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14:paraId="65609FC1"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provides a clear description and e</w:t>
      </w:r>
      <w:r>
        <w:rPr>
          <w:sz w:val="24"/>
          <w:szCs w:val="24"/>
        </w:rPr>
        <w:t>xplanation of the Supplier Group members that have agreements for goods, services or works provision in respect of UK Public Sector Business and/or Critical National Infrastructure and the nature of those agreements; and</w:t>
      </w:r>
    </w:p>
    <w:p w14:paraId="46DDAA38"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complies with the requirements set </w:t>
      </w:r>
      <w:r>
        <w:rPr>
          <w:sz w:val="24"/>
          <w:szCs w:val="24"/>
        </w:rPr>
        <w:t xml:space="preserve">out at </w:t>
      </w:r>
      <w:r>
        <w:rPr>
          <w:color w:val="000000"/>
          <w:sz w:val="24"/>
          <w:szCs w:val="24"/>
        </w:rPr>
        <w:t xml:space="preserve">Annex 1 (Exposure Information (Contracts List)), Annex 2 (Corporate Resolvability Assessment (Structural Review)) and Annex 3 (Financial Information and Commentary) </w:t>
      </w:r>
      <w:r>
        <w:rPr>
          <w:sz w:val="24"/>
          <w:szCs w:val="24"/>
        </w:rPr>
        <w:t>respectively.</w:t>
      </w:r>
    </w:p>
    <w:p w14:paraId="40D810E4"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w:t>
      </w:r>
      <w:r>
        <w:rPr>
          <w:color w:val="000000"/>
          <w:sz w:val="24"/>
          <w:szCs w:val="24"/>
        </w:rPr>
        <w:t>ies of the CRP Information pursuant to Paragraphs 3.2, 3.8 and 3.9, the Buyer shall procure that the Appropriate Authority or Appropriate Authorities shall discuss in good faith the contents of the CRP Information with the Supplier and no later than 60 day</w:t>
      </w:r>
      <w:r>
        <w:rPr>
          <w:color w:val="000000"/>
          <w:sz w:val="24"/>
          <w:szCs w:val="24"/>
        </w:rPr>
        <w:t>s after the date on which the CRP Information was delivered by the Supplier either provide an Assurance to the Supplier that the Appropriate Authority or Appropriate Authorities approve the CRP Information or that the Appropriate Authority or Appropriate A</w:t>
      </w:r>
      <w:r>
        <w:rPr>
          <w:color w:val="000000"/>
          <w:sz w:val="24"/>
          <w:szCs w:val="24"/>
        </w:rPr>
        <w:t>uthorities reject the CRP Information.</w:t>
      </w:r>
    </w:p>
    <w:p w14:paraId="3C0CDFE8"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 the CRP Information:</w:t>
      </w:r>
    </w:p>
    <w:p w14:paraId="54F6A265"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w:t>
      </w:r>
      <w:r>
        <w:rPr>
          <w:sz w:val="24"/>
          <w:szCs w:val="24"/>
        </w:rPr>
        <w:t>asons for its rejection; and</w:t>
      </w:r>
    </w:p>
    <w:p w14:paraId="14C0D1BD"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w:t>
      </w:r>
      <w:r>
        <w:rPr>
          <w:sz w:val="24"/>
          <w:szCs w:val="24"/>
        </w:rPr>
        <w:t xml:space="preserve">uthorities for approval within 30 days of the date of the Appropriate Authority’s or Appropriate Authorities’ rejection. The provisions of paragraph 3.3 to 3.5 shall apply again to any resubmitted CRP Information provided that either Party may refer any </w:t>
      </w:r>
      <w:r>
        <w:rPr>
          <w:sz w:val="24"/>
          <w:szCs w:val="24"/>
        </w:rPr>
        <w:lastRenderedPageBreak/>
        <w:t>di</w:t>
      </w:r>
      <w:r>
        <w:rPr>
          <w:sz w:val="24"/>
          <w:szCs w:val="24"/>
        </w:rPr>
        <w:t>sputed matters for resolution by the Dispute Resolution Procedure under Clause 34 of the Core Terms at any time.</w:t>
      </w:r>
    </w:p>
    <w:p w14:paraId="443AF95B"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Where the Supplier or a member of the Supplier Group has already provided CRP Information to a </w:t>
      </w:r>
      <w:r>
        <w:rPr>
          <w:color w:val="000000"/>
          <w:sz w:val="24"/>
          <w:szCs w:val="24"/>
          <w:highlight w:val="yellow"/>
        </w:rPr>
        <w:t>Central Government Body</w:t>
      </w:r>
      <w:r>
        <w:rPr>
          <w:color w:val="000000"/>
          <w:sz w:val="24"/>
          <w:szCs w:val="24"/>
        </w:rPr>
        <w:t xml:space="preserve"> or the Cabinet Office Ma</w:t>
      </w:r>
      <w:r>
        <w:rPr>
          <w:color w:val="000000"/>
          <w:sz w:val="24"/>
          <w:szCs w:val="24"/>
        </w:rPr>
        <w:t xml:space="preserve">rkets and Suppliers Team (or, in the case of a Strategic Supplier, solely to the Cabinet Office Markets and Suppliers Team) and has received an Assurance of its CRP Information from that </w:t>
      </w:r>
      <w:r>
        <w:rPr>
          <w:color w:val="000000"/>
          <w:sz w:val="24"/>
          <w:szCs w:val="24"/>
          <w:highlight w:val="yellow"/>
        </w:rPr>
        <w:t>Central Government Body</w:t>
      </w:r>
      <w:r>
        <w:rPr>
          <w:color w:val="000000"/>
          <w:sz w:val="24"/>
          <w:szCs w:val="24"/>
        </w:rPr>
        <w:t xml:space="preserve"> and the Cabinet Office Markets and Suppliers </w:t>
      </w:r>
      <w:r>
        <w:rPr>
          <w:color w:val="000000"/>
          <w:sz w:val="24"/>
          <w:szCs w:val="24"/>
        </w:rPr>
        <w:t>Team (or, in the case of a Strategic Supplier, solely from the Cabinet Office Markets and Suppliers Team), then provided that the Assurance remains Valid (which has the meaning in paragraph 3.7 below) on the date by which the CRP Information would otherwis</w:t>
      </w:r>
      <w:r>
        <w:rPr>
          <w:color w:val="000000"/>
          <w:sz w:val="24"/>
          <w:szCs w:val="24"/>
        </w:rPr>
        <w:t>e be required, the Supplier shall not be required to provide the CRP Information under Paragraph 3.2 if it provides a copy of the Valid Assurance to the Appropriate Authority or Appropriate Authorities on or before the date on which the CRP Information wou</w:t>
      </w:r>
      <w:r>
        <w:rPr>
          <w:color w:val="000000"/>
          <w:sz w:val="24"/>
          <w:szCs w:val="24"/>
        </w:rPr>
        <w:t>ld otherwise have been required.</w:t>
      </w:r>
    </w:p>
    <w:p w14:paraId="257CECA8"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3.6 if:</w:t>
      </w:r>
    </w:p>
    <w:p w14:paraId="448F9F48"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it </w:t>
      </w:r>
      <w:r>
        <w:rPr>
          <w:sz w:val="24"/>
          <w:szCs w:val="24"/>
        </w:rPr>
        <w:t>was issued and no more than 18 months has elapsed since the Accounting Reference Date on which the CRP Information was based); and</w:t>
      </w:r>
    </w:p>
    <w:p w14:paraId="54DE541D"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w:t>
      </w:r>
      <w:r>
        <w:rPr>
          <w:sz w:val="24"/>
          <w:szCs w:val="24"/>
        </w:rPr>
        <w:t>ancial Distress Events if the Contract had then been in force) have occurred since the date of issue of the Assurance.</w:t>
      </w:r>
    </w:p>
    <w:p w14:paraId="704DB6E5"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If the Contract is a Critical Service Contract, the Supplier shall provide an updated version of the CRP Information (or, in the case of </w:t>
      </w:r>
      <w:r>
        <w:rPr>
          <w:color w:val="000000"/>
          <w:sz w:val="24"/>
          <w:szCs w:val="24"/>
        </w:rPr>
        <w:t>Paragraph 3.8.3 of its initial CRP Information) to the Appropriate Authority or Appropriate Authorities:</w:t>
      </w:r>
    </w:p>
    <w:p w14:paraId="706E71A4"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w:t>
      </w:r>
      <w:r>
        <w:rPr>
          <w:sz w:val="24"/>
          <w:szCs w:val="24"/>
        </w:rPr>
        <w:t>osure under Paragraph 3.11) unless the Supplier is relieved of the consequences of the Financial Distress Event under Paragraph 7.1 of Joint Schedule 7 (Financial Distress) (if applicable);</w:t>
      </w:r>
    </w:p>
    <w:p w14:paraId="580A838F"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a Corporate Change Event unless</w:t>
      </w:r>
    </w:p>
    <w:p w14:paraId="2665DCD8" w14:textId="77777777" w:rsidR="003D35C2" w:rsidRDefault="00B33D10">
      <w:pPr>
        <w:keepNext/>
        <w:numPr>
          <w:ilvl w:val="3"/>
          <w:numId w:val="1"/>
        </w:numPr>
        <w:pBdr>
          <w:top w:val="nil"/>
          <w:left w:val="nil"/>
          <w:bottom w:val="nil"/>
          <w:right w:val="nil"/>
          <w:between w:val="nil"/>
        </w:pBdr>
        <w:spacing w:before="120" w:after="120"/>
        <w:ind w:left="2268" w:hanging="850"/>
        <w:jc w:val="left"/>
        <w:rPr>
          <w:sz w:val="24"/>
          <w:szCs w:val="24"/>
        </w:rPr>
      </w:pPr>
      <w:r>
        <w:rPr>
          <w:sz w:val="24"/>
          <w:szCs w:val="24"/>
        </w:rPr>
        <w:t xml:space="preserve">the Supplier requests and the Appropriate Authority (acting reasonably) agrees to a </w:t>
      </w:r>
      <w:r>
        <w:rPr>
          <w:sz w:val="24"/>
          <w:szCs w:val="24"/>
          <w:highlight w:val="yellow"/>
        </w:rPr>
        <w:t>Corporate Change Event Grace Period</w:t>
      </w:r>
      <w:r>
        <w:rPr>
          <w:sz w:val="24"/>
          <w:szCs w:val="24"/>
        </w:rPr>
        <w:t>, in the event of which the time period for the Supplier to comply with this Paragraph shall be extended as determined by the Appropriate</w:t>
      </w:r>
      <w:r>
        <w:rPr>
          <w:sz w:val="24"/>
          <w:szCs w:val="24"/>
        </w:rPr>
        <w:t xml:space="preserve"> Authority (acting reasonably) but shall in any case be no longer than six months after the Corporate Change Event.  During a Corporate Change Event Grace Period the Supplier shall regularly and fully engage with the Appropriate Authority to enable it to u</w:t>
      </w:r>
      <w:r>
        <w:rPr>
          <w:sz w:val="24"/>
          <w:szCs w:val="24"/>
        </w:rPr>
        <w:t xml:space="preserve">nderstand the nature of the Corporate </w:t>
      </w:r>
      <w:r>
        <w:rPr>
          <w:sz w:val="24"/>
          <w:szCs w:val="24"/>
        </w:rPr>
        <w:lastRenderedPageBreak/>
        <w:t xml:space="preserve">Change Event and the Appropriate </w:t>
      </w:r>
      <w:proofErr w:type="gramStart"/>
      <w:r>
        <w:rPr>
          <w:sz w:val="24"/>
          <w:szCs w:val="24"/>
        </w:rPr>
        <w:t>Authority  shall</w:t>
      </w:r>
      <w:proofErr w:type="gramEnd"/>
      <w:r>
        <w:rPr>
          <w:sz w:val="24"/>
          <w:szCs w:val="24"/>
        </w:rPr>
        <w:t xml:space="preserve"> reserve the right to terminate a Corporate Change Event Grace Period at any time if the Supplier fails to comply with this Paragraph; or</w:t>
      </w:r>
    </w:p>
    <w:p w14:paraId="2CD6006B" w14:textId="77777777" w:rsidR="003D35C2" w:rsidRDefault="00B33D10">
      <w:pPr>
        <w:keepNext/>
        <w:numPr>
          <w:ilvl w:val="3"/>
          <w:numId w:val="1"/>
        </w:numPr>
        <w:pBdr>
          <w:top w:val="nil"/>
          <w:left w:val="nil"/>
          <w:bottom w:val="nil"/>
          <w:right w:val="nil"/>
          <w:between w:val="nil"/>
        </w:pBdr>
        <w:spacing w:before="120" w:after="120"/>
        <w:jc w:val="left"/>
        <w:rPr>
          <w:sz w:val="24"/>
          <w:szCs w:val="24"/>
        </w:rPr>
      </w:pPr>
      <w:r>
        <w:rPr>
          <w:sz w:val="24"/>
          <w:szCs w:val="24"/>
        </w:rPr>
        <w:t xml:space="preserve"> not required pursuant to Parag</w:t>
      </w:r>
      <w:r>
        <w:rPr>
          <w:sz w:val="24"/>
          <w:szCs w:val="24"/>
        </w:rPr>
        <w:t>raph 3.10;</w:t>
      </w:r>
    </w:p>
    <w:p w14:paraId="28DADA52"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6EF64045"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3.10; or</w:t>
      </w:r>
    </w:p>
    <w:p w14:paraId="780C9804"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none of the credit rating agencies specified at Paragraph 3.10 hold a public credit rating for the Supplier or any of </w:t>
      </w:r>
      <w:r>
        <w:rPr>
          <w:color w:val="000000"/>
          <w:sz w:val="24"/>
          <w:szCs w:val="24"/>
        </w:rPr>
        <w:t>its Parent Undertakings; and</w:t>
      </w:r>
    </w:p>
    <w:p w14:paraId="1630C286"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67A345E6"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w:t>
      </w:r>
      <w:r>
        <w:rPr>
          <w:color w:val="000000"/>
          <w:sz w:val="24"/>
          <w:szCs w:val="24"/>
        </w:rPr>
        <w:t xml:space="preserve">s been provided under any of Paragraphs 3.8.1 3.8.2 or 3.8.3 since the most recent Accounting Reference Date (being no more than 12 months previously) within the timescales that would ordinarily be required for the provision of that information under this </w:t>
      </w:r>
      <w:r>
        <w:rPr>
          <w:color w:val="000000"/>
          <w:sz w:val="24"/>
          <w:szCs w:val="24"/>
        </w:rPr>
        <w:t>Paragraph 3.8.4; or</w:t>
      </w:r>
    </w:p>
    <w:p w14:paraId="7DBD83BC"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not required pursuant to Paragraph 3.10.</w:t>
      </w:r>
    </w:p>
    <w:p w14:paraId="6A73B4D0"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3.8.1 to 3.8.4,</w:t>
      </w:r>
      <w:r>
        <w:rPr>
          <w:color w:val="000000"/>
          <w:sz w:val="24"/>
          <w:szCs w:val="24"/>
        </w:rPr>
        <w:t xml:space="preserve"> the Supplier shall provide at the request of the Appropriate Authority or Appropriate Authorities and within the applicable timescales for each event as set out in Paragraph 3.8 (or such longer timescales as may be notified to the Supplier by the Buyer), </w:t>
      </w:r>
      <w:r>
        <w:rPr>
          <w:color w:val="000000"/>
          <w:sz w:val="24"/>
          <w:szCs w:val="24"/>
        </w:rPr>
        <w:t>the CRP Information to the Appropriate Authority or Appropriate Authorities.</w:t>
      </w:r>
    </w:p>
    <w:p w14:paraId="73EC7097"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Where the Supplier or a </w:t>
      </w:r>
      <w:r>
        <w:rPr>
          <w:color w:val="000000"/>
          <w:sz w:val="24"/>
          <w:szCs w:val="24"/>
          <w:highlight w:val="yellow"/>
        </w:rPr>
        <w:t>Parent Undertaking</w:t>
      </w:r>
      <w:r>
        <w:rPr>
          <w:color w:val="000000"/>
          <w:sz w:val="24"/>
          <w:szCs w:val="24"/>
        </w:rPr>
        <w:t xml:space="preserve"> of the Supplier has a credit rating of either:</w:t>
      </w:r>
    </w:p>
    <w:p w14:paraId="50A859AD"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65850F65"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3CAC95D2"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43FC63FE" w14:textId="77777777" w:rsidR="003D35C2" w:rsidRDefault="00B33D10">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w:t>
      </w:r>
      <w:r>
        <w:rPr>
          <w:sz w:val="24"/>
          <w:szCs w:val="24"/>
          <w:highlight w:val="yellow"/>
        </w:rPr>
        <w:t>Paragraph 7.1</w:t>
      </w:r>
      <w:r>
        <w:rPr>
          <w:sz w:val="24"/>
          <w:szCs w:val="24"/>
          <w:highlight w:val="yellow"/>
        </w:rPr>
        <w:t xml:space="preserve"> of Annex 3 to Joint Schedule 7 (Financial Distress</w:t>
      </w:r>
      <w:r>
        <w:rPr>
          <w:sz w:val="24"/>
          <w:szCs w:val="24"/>
        </w:rPr>
        <w:t>), if applicable) or (ii) the Supplier and its Parent Undertakings cease to fulfil the criteria set out in this Paragraph 3.10, in which cases the Supplier shall provide the updated version of the CRP Info</w:t>
      </w:r>
      <w:r>
        <w:rPr>
          <w:sz w:val="24"/>
          <w:szCs w:val="24"/>
        </w:rPr>
        <w:t>rmation in accordance with paragraph 3.8.</w:t>
      </w:r>
    </w:p>
    <w:p w14:paraId="4494E4C9"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Subject to Paragraph 5, where the Supplier demonstrates to the reasonable satisfaction of the Appropriate Authority or Appropriate Authorities that a particular item of CRP Information is highly confidential, the S</w:t>
      </w:r>
      <w:r>
        <w:rPr>
          <w:color w:val="000000"/>
          <w:sz w:val="24"/>
          <w:szCs w:val="24"/>
        </w:rPr>
        <w:t xml:space="preserve">upplier may, </w:t>
      </w:r>
      <w:r>
        <w:rPr>
          <w:color w:val="000000"/>
          <w:sz w:val="24"/>
          <w:szCs w:val="24"/>
        </w:rPr>
        <w:lastRenderedPageBreak/>
        <w:t>having orally disclosed and discussed that information with the Appropriate Authority or Appropriate Authorities, redact or omit that information from the CRP Information provided that if a Financial Distress Event occurs, this exemption shall</w:t>
      </w:r>
      <w:r>
        <w:rPr>
          <w:color w:val="000000"/>
          <w:sz w:val="24"/>
          <w:szCs w:val="24"/>
        </w:rPr>
        <w:t xml:space="preserve"> no longer apply and the Supplier shall promptly provide the relevant information to the Appropriate Authority or Appropriate Authorities to the extent required under Paragraph 3.8.</w:t>
      </w:r>
    </w:p>
    <w:p w14:paraId="1F19C0DF" w14:textId="77777777" w:rsidR="003D35C2" w:rsidRDefault="00B33D10">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14:paraId="3A08FA49"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3 and either:</w:t>
      </w:r>
    </w:p>
    <w:p w14:paraId="0576A31B"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w:t>
      </w:r>
      <w:r>
        <w:rPr>
          <w:sz w:val="24"/>
          <w:szCs w:val="24"/>
          <w:highlight w:val="yellow"/>
        </w:rPr>
        <w:t>Effective Date</w:t>
      </w:r>
      <w:r>
        <w:rPr>
          <w:sz w:val="24"/>
          <w:szCs w:val="24"/>
        </w:rPr>
        <w:t xml:space="preserve"> if this is a Critical Service</w:t>
      </w:r>
      <w:r>
        <w:rPr>
          <w:sz w:val="24"/>
          <w:szCs w:val="24"/>
        </w:rPr>
        <w:t xml:space="preserve"> Contract or otherwise within 4 months of the Appropriate Authority’s or Appropriate Authorities’ request; or</w:t>
      </w:r>
    </w:p>
    <w:p w14:paraId="335BFB75"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Appropriate Authority or Appropriate Authorities within 4 months of the date that it was first </w:t>
      </w:r>
      <w:r>
        <w:rPr>
          <w:sz w:val="24"/>
          <w:szCs w:val="24"/>
        </w:rPr>
        <w:t>required to provide the CRP Information under the Contract,</w:t>
      </w:r>
    </w:p>
    <w:p w14:paraId="6ACA7744" w14:textId="77777777" w:rsidR="003D35C2" w:rsidRDefault="00B33D10">
      <w:pPr>
        <w:pBdr>
          <w:top w:val="nil"/>
          <w:left w:val="nil"/>
          <w:bottom w:val="nil"/>
          <w:right w:val="nil"/>
          <w:between w:val="nil"/>
        </w:pBdr>
        <w:spacing w:before="120" w:after="120"/>
        <w:ind w:left="720" w:hanging="1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744E5BA5" w14:textId="77777777" w:rsidR="003D35C2" w:rsidRDefault="00B33D10">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14:paraId="7D1EB12A"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w:t>
      </w:r>
      <w:r>
        <w:rPr>
          <w:color w:val="000000"/>
          <w:sz w:val="24"/>
          <w:szCs w:val="24"/>
        </w:rPr>
        <w:t>ntial and use it only to understand the implications of an Insolvency Event of the Supplier and/or Supplier Group members on its UK Public Sector Business and/or services in respect of CNI and to enable contingency planning to maintain service continuity f</w:t>
      </w:r>
      <w:r>
        <w:rPr>
          <w:color w:val="000000"/>
          <w:sz w:val="24"/>
          <w:szCs w:val="24"/>
        </w:rPr>
        <w:t>or end users and protect CNI in such eventuality.</w:t>
      </w:r>
    </w:p>
    <w:p w14:paraId="1D7F8B93" w14:textId="77777777" w:rsidR="003D35C2" w:rsidRDefault="00B33D10">
      <w:pPr>
        <w:numPr>
          <w:ilvl w:val="1"/>
          <w:numId w:val="1"/>
        </w:numPr>
        <w:pBdr>
          <w:top w:val="nil"/>
          <w:left w:val="nil"/>
          <w:bottom w:val="nil"/>
          <w:right w:val="nil"/>
          <w:between w:val="nil"/>
        </w:pBdr>
        <w:spacing w:before="120" w:after="120"/>
        <w:rPr>
          <w:color w:val="000000"/>
          <w:sz w:val="24"/>
          <w:szCs w:val="24"/>
        </w:rPr>
      </w:pPr>
      <w:bookmarkStart w:id="2" w:name="_heading=h.23ckvvd" w:colFirst="0" w:colLast="0"/>
      <w:bookmarkEnd w:id="2"/>
      <w:r>
        <w:rPr>
          <w:color w:val="000000"/>
          <w:sz w:val="24"/>
          <w:szCs w:val="24"/>
        </w:rPr>
        <w:t>Where the Appropriate Authority is the Cabinet Office Markets and Suppliers Team, at the Supplier’s request, the Buyer shall use reasonable endeavours to procure that the Cabinet Office enters into a confid</w:t>
      </w:r>
      <w:r>
        <w:rPr>
          <w:color w:val="000000"/>
          <w:sz w:val="24"/>
          <w:szCs w:val="24"/>
        </w:rPr>
        <w:t>entiality and usage agreement with the Supplier containing terms no less stringent than those placed on the Buyer under paragraph 5.1 and Clause 15 of the Core Terms.</w:t>
      </w:r>
    </w:p>
    <w:p w14:paraId="411A4EDC"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w:t>
      </w:r>
      <w:r>
        <w:rPr>
          <w:color w:val="000000"/>
          <w:sz w:val="24"/>
          <w:szCs w:val="24"/>
        </w:rPr>
        <w:t xml:space="preserve"> has restricted the disclosure of the CRP Information to enable disclosure of that information to the Appropriate Authority or Appropriate Authorities pursuant to Paragraph 3 subject, where necessary, to the Appropriate Authority or Appropriate Authorities</w:t>
      </w:r>
      <w:r>
        <w:rPr>
          <w:color w:val="000000"/>
          <w:sz w:val="24"/>
          <w:szCs w:val="24"/>
        </w:rPr>
        <w:t xml:space="preserve"> entering into an appropriate confidentiality agreement in the form required by the third party.</w:t>
      </w:r>
    </w:p>
    <w:p w14:paraId="29501A33"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procure consent pursuant to Paragraph 5.3, the Supplier shall use all reasonable endeavours to disclose the CRP Information to </w:t>
      </w:r>
      <w:r>
        <w:rPr>
          <w:color w:val="000000"/>
          <w:sz w:val="24"/>
          <w:szCs w:val="24"/>
        </w:rPr>
        <w:t>the fullest extent possible by limiting the amount of information it withholds including by:</w:t>
      </w:r>
    </w:p>
    <w:p w14:paraId="0109ECED"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lastRenderedPageBreak/>
        <w:t>redacting only those parts of the information which are subject to such obligations of confidentiality;</w:t>
      </w:r>
    </w:p>
    <w:p w14:paraId="74D2DDC4" w14:textId="77777777" w:rsidR="003D35C2" w:rsidRDefault="00B33D10">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5892A5B5"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0CEBFFBA"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54BE366B"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203A9B63" w14:textId="77777777" w:rsidR="003D35C2" w:rsidRDefault="00B33D10">
      <w:pPr>
        <w:numPr>
          <w:ilvl w:val="3"/>
          <w:numId w:val="1"/>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0367E9C1" w14:textId="77777777" w:rsidR="003D35C2" w:rsidRDefault="00B33D10">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CRP Information where that third party is also a public sector body and where the Supplier is legally permitted to do so.</w:t>
      </w:r>
    </w:p>
    <w:p w14:paraId="447F3AD9" w14:textId="77777777" w:rsidR="003D35C2" w:rsidRDefault="003D35C2">
      <w:pPr>
        <w:pBdr>
          <w:top w:val="nil"/>
          <w:left w:val="nil"/>
          <w:bottom w:val="nil"/>
          <w:right w:val="nil"/>
          <w:between w:val="nil"/>
        </w:pBdr>
        <w:spacing w:before="120" w:after="120"/>
        <w:ind w:left="720" w:hanging="720"/>
        <w:rPr>
          <w:rFonts w:ascii="Calibri" w:eastAsia="Calibri" w:hAnsi="Calibri" w:cs="Calibri"/>
          <w:color w:val="000000"/>
          <w:sz w:val="24"/>
          <w:szCs w:val="24"/>
        </w:rPr>
      </w:pPr>
    </w:p>
    <w:p w14:paraId="60017757" w14:textId="77777777" w:rsidR="003D35C2" w:rsidRDefault="00B33D10">
      <w:pPr>
        <w:ind w:firstLine="1418"/>
        <w:rPr>
          <w:sz w:val="24"/>
          <w:szCs w:val="24"/>
        </w:rPr>
      </w:pPr>
      <w:r>
        <w:br w:type="page"/>
      </w:r>
    </w:p>
    <w:p w14:paraId="334C1CA6" w14:textId="77777777" w:rsidR="003D35C2" w:rsidRDefault="00B33D10" w:rsidP="00091A17">
      <w:pPr>
        <w:pBdr>
          <w:top w:val="nil"/>
          <w:left w:val="nil"/>
          <w:bottom w:val="nil"/>
          <w:right w:val="nil"/>
          <w:between w:val="nil"/>
        </w:pBdr>
        <w:spacing w:before="100" w:after="300"/>
        <w:rPr>
          <w:b/>
          <w:smallCaps/>
          <w:color w:val="000000"/>
          <w:sz w:val="24"/>
          <w:szCs w:val="24"/>
        </w:rPr>
      </w:pPr>
      <w:r>
        <w:rPr>
          <w:b/>
          <w:smallCaps/>
          <w:sz w:val="24"/>
          <w:szCs w:val="24"/>
        </w:rPr>
        <w:lastRenderedPageBreak/>
        <w:t>ANNEX 1</w:t>
      </w:r>
      <w:r>
        <w:rPr>
          <w:b/>
          <w:smallCaps/>
          <w:color w:val="000000"/>
          <w:sz w:val="24"/>
          <w:szCs w:val="24"/>
        </w:rPr>
        <w:t>: EXPOSURE: CRITICAL CONTRACTS LIST</w:t>
      </w:r>
    </w:p>
    <w:p w14:paraId="09F3D031" w14:textId="77777777" w:rsidR="003D35C2" w:rsidRDefault="00B33D10">
      <w:pPr>
        <w:numPr>
          <w:ilvl w:val="0"/>
          <w:numId w:val="2"/>
        </w:numPr>
        <w:pBdr>
          <w:top w:val="nil"/>
          <w:left w:val="nil"/>
          <w:bottom w:val="nil"/>
          <w:right w:val="nil"/>
          <w:between w:val="nil"/>
        </w:pBdr>
        <w:spacing w:before="100" w:after="200"/>
        <w:jc w:val="left"/>
        <w:rPr>
          <w:sz w:val="24"/>
          <w:szCs w:val="24"/>
        </w:rPr>
      </w:pPr>
      <w:r>
        <w:rPr>
          <w:color w:val="000000"/>
          <w:sz w:val="24"/>
          <w:szCs w:val="24"/>
        </w:rPr>
        <w:t>The Supplier shall:</w:t>
      </w:r>
    </w:p>
    <w:p w14:paraId="6986B101" w14:textId="77777777" w:rsidR="003D35C2" w:rsidRDefault="00B33D10">
      <w:pPr>
        <w:numPr>
          <w:ilvl w:val="1"/>
          <w:numId w:val="2"/>
        </w:numPr>
        <w:pBdr>
          <w:top w:val="nil"/>
          <w:left w:val="nil"/>
          <w:bottom w:val="nil"/>
          <w:right w:val="nil"/>
          <w:between w:val="nil"/>
        </w:pBdr>
        <w:spacing w:before="100" w:after="200"/>
        <w:jc w:val="left"/>
        <w:rPr>
          <w:sz w:val="24"/>
          <w:szCs w:val="24"/>
        </w:rPr>
      </w:pPr>
      <w:r>
        <w:rPr>
          <w:color w:val="000000"/>
          <w:sz w:val="24"/>
          <w:szCs w:val="24"/>
        </w:rPr>
        <w:t>provide details of all agreements held by members of the Supplier Group where those agreements are for goods, services or works provision and:</w:t>
      </w:r>
    </w:p>
    <w:p w14:paraId="6F415EF5" w14:textId="77777777" w:rsidR="003D35C2" w:rsidRDefault="00B33D10">
      <w:pPr>
        <w:numPr>
          <w:ilvl w:val="3"/>
          <w:numId w:val="2"/>
        </w:numPr>
        <w:pBdr>
          <w:top w:val="nil"/>
          <w:left w:val="nil"/>
          <w:bottom w:val="nil"/>
          <w:right w:val="nil"/>
          <w:between w:val="nil"/>
        </w:pBdr>
        <w:tabs>
          <w:tab w:val="left" w:pos="720"/>
          <w:tab w:val="left" w:pos="1803"/>
        </w:tabs>
        <w:spacing w:before="100" w:after="200"/>
        <w:jc w:val="left"/>
        <w:rPr>
          <w:sz w:val="24"/>
          <w:szCs w:val="24"/>
        </w:rPr>
      </w:pPr>
      <w:bookmarkStart w:id="3" w:name="_heading=h.1baon6m" w:colFirst="0" w:colLast="0"/>
      <w:bookmarkEnd w:id="3"/>
      <w:r>
        <w:rPr>
          <w:color w:val="000000"/>
          <w:sz w:val="24"/>
          <w:szCs w:val="24"/>
        </w:rPr>
        <w:t>are with any UK public sector bodies including: central Government departments and their arms-length bodies and a</w:t>
      </w:r>
      <w:r>
        <w:rPr>
          <w:color w:val="000000"/>
          <w:sz w:val="24"/>
          <w:szCs w:val="24"/>
        </w:rPr>
        <w:t>gencies, non-departmental public bodies, NHS bodies, local buyers, health bodies, police fire and rescue, education bodies and the devolved administrations;</w:t>
      </w:r>
    </w:p>
    <w:p w14:paraId="39E4D6EA" w14:textId="77777777" w:rsidR="003D35C2" w:rsidRDefault="00B33D10">
      <w:pPr>
        <w:numPr>
          <w:ilvl w:val="3"/>
          <w:numId w:val="2"/>
        </w:numPr>
        <w:pBdr>
          <w:top w:val="nil"/>
          <w:left w:val="nil"/>
          <w:bottom w:val="nil"/>
          <w:right w:val="nil"/>
          <w:between w:val="nil"/>
        </w:pBdr>
        <w:tabs>
          <w:tab w:val="left" w:pos="720"/>
          <w:tab w:val="left" w:pos="1803"/>
        </w:tabs>
        <w:spacing w:before="100" w:after="200"/>
        <w:jc w:val="left"/>
        <w:rPr>
          <w:sz w:val="24"/>
          <w:szCs w:val="24"/>
        </w:rPr>
      </w:pPr>
      <w:bookmarkStart w:id="4" w:name="_heading=h.3vac5uf" w:colFirst="0" w:colLast="0"/>
      <w:bookmarkEnd w:id="4"/>
      <w:r>
        <w:rPr>
          <w:color w:val="000000"/>
          <w:sz w:val="24"/>
          <w:szCs w:val="24"/>
        </w:rPr>
        <w:t>are with any private sector entities where the end recipient of the service, goods or works provisi</w:t>
      </w:r>
      <w:r>
        <w:rPr>
          <w:color w:val="000000"/>
          <w:sz w:val="24"/>
          <w:szCs w:val="24"/>
        </w:rPr>
        <w:t>on is any of the bodies set out in Paragraph 1.1(a) of this Annex 1 and where the member of the Supplier Group is acting as a key sub-contractor under the Contract with the end recipient; or</w:t>
      </w:r>
    </w:p>
    <w:p w14:paraId="1B1596DE" w14:textId="77777777" w:rsidR="003D35C2" w:rsidRDefault="00B33D10">
      <w:pPr>
        <w:numPr>
          <w:ilvl w:val="3"/>
          <w:numId w:val="2"/>
        </w:numPr>
        <w:pBdr>
          <w:top w:val="nil"/>
          <w:left w:val="nil"/>
          <w:bottom w:val="nil"/>
          <w:right w:val="nil"/>
          <w:between w:val="nil"/>
        </w:pBdr>
        <w:tabs>
          <w:tab w:val="left" w:pos="720"/>
          <w:tab w:val="left" w:pos="1803"/>
        </w:tabs>
        <w:spacing w:before="100" w:after="200"/>
        <w:jc w:val="left"/>
        <w:rPr>
          <w:sz w:val="24"/>
          <w:szCs w:val="24"/>
        </w:rPr>
      </w:pPr>
      <w:r>
        <w:rPr>
          <w:color w:val="000000"/>
          <w:sz w:val="24"/>
          <w:szCs w:val="24"/>
        </w:rPr>
        <w:t>involve or could reasonably be considered to involve CNI;</w:t>
      </w:r>
    </w:p>
    <w:p w14:paraId="26497D8B" w14:textId="77777777" w:rsidR="003D35C2" w:rsidRDefault="00B33D10">
      <w:pPr>
        <w:numPr>
          <w:ilvl w:val="1"/>
          <w:numId w:val="2"/>
        </w:numPr>
        <w:pBdr>
          <w:top w:val="nil"/>
          <w:left w:val="nil"/>
          <w:bottom w:val="nil"/>
          <w:right w:val="nil"/>
          <w:between w:val="nil"/>
        </w:pBdr>
        <w:spacing w:before="100" w:after="200"/>
        <w:jc w:val="left"/>
        <w:rPr>
          <w:sz w:val="24"/>
          <w:szCs w:val="24"/>
        </w:rPr>
      </w:pPr>
      <w:r>
        <w:rPr>
          <w:sz w:val="24"/>
          <w:szCs w:val="24"/>
        </w:rPr>
        <w:t>provide</w:t>
      </w:r>
      <w:r>
        <w:rPr>
          <w:sz w:val="24"/>
          <w:szCs w:val="24"/>
        </w:rPr>
        <w:t xml:space="preserve"> the Appropriate Authority with a copy of the latest version of each underlying contract worth more than £5m per contract year and their related key sub-contracts, which shall be included as embedded documents within the CRP Information or via a directly a</w:t>
      </w:r>
      <w:r>
        <w:rPr>
          <w:sz w:val="24"/>
          <w:szCs w:val="24"/>
        </w:rPr>
        <w:t xml:space="preserve">ccessible link </w:t>
      </w:r>
    </w:p>
    <w:p w14:paraId="6C620E7E" w14:textId="77777777" w:rsidR="003D35C2" w:rsidRDefault="00B33D10">
      <w:pPr>
        <w:ind w:firstLine="1418"/>
        <w:rPr>
          <w:sz w:val="24"/>
          <w:szCs w:val="24"/>
        </w:rPr>
      </w:pPr>
      <w:r>
        <w:br w:type="page"/>
      </w:r>
    </w:p>
    <w:p w14:paraId="08D2DF2E" w14:textId="77777777" w:rsidR="003D35C2" w:rsidRDefault="00B33D10" w:rsidP="00091A17">
      <w:pPr>
        <w:jc w:val="left"/>
        <w:rPr>
          <w:sz w:val="24"/>
          <w:szCs w:val="24"/>
        </w:rPr>
      </w:pPr>
      <w:r>
        <w:rPr>
          <w:b/>
          <w:sz w:val="24"/>
          <w:szCs w:val="24"/>
        </w:rPr>
        <w:lastRenderedPageBreak/>
        <w:t>ANNEX 2: CORPORATE RESOLVABILITY ASSESSMENT (STRUCTURAL REVIEW)</w:t>
      </w:r>
      <w:r>
        <w:rPr>
          <w:sz w:val="24"/>
          <w:szCs w:val="24"/>
        </w:rPr>
        <w:t xml:space="preserve">    </w:t>
      </w:r>
    </w:p>
    <w:p w14:paraId="1CC88E4D" w14:textId="77777777" w:rsidR="003D35C2" w:rsidRDefault="00B33D10">
      <w:pPr>
        <w:numPr>
          <w:ilvl w:val="0"/>
          <w:numId w:val="4"/>
        </w:numPr>
        <w:pBdr>
          <w:top w:val="nil"/>
          <w:left w:val="nil"/>
          <w:bottom w:val="nil"/>
          <w:right w:val="nil"/>
          <w:between w:val="nil"/>
        </w:pBdr>
        <w:spacing w:before="100" w:after="200"/>
        <w:jc w:val="left"/>
        <w:rPr>
          <w:sz w:val="24"/>
          <w:szCs w:val="24"/>
        </w:rPr>
      </w:pPr>
      <w:bookmarkStart w:id="5" w:name="_heading=h.32hioqz" w:colFirst="0" w:colLast="0"/>
      <w:bookmarkEnd w:id="5"/>
      <w:r>
        <w:rPr>
          <w:rFonts w:eastAsia="Arial"/>
          <w:color w:val="000000"/>
          <w:sz w:val="24"/>
          <w:szCs w:val="24"/>
        </w:rPr>
        <w:t>The Supplier shall:</w:t>
      </w:r>
    </w:p>
    <w:p w14:paraId="5507E85A" w14:textId="77777777" w:rsidR="003D35C2" w:rsidRDefault="00B33D10">
      <w:pPr>
        <w:numPr>
          <w:ilvl w:val="1"/>
          <w:numId w:val="4"/>
        </w:numPr>
        <w:pBdr>
          <w:top w:val="nil"/>
          <w:left w:val="nil"/>
          <w:bottom w:val="nil"/>
          <w:right w:val="nil"/>
          <w:between w:val="nil"/>
        </w:pBdr>
        <w:spacing w:before="100" w:after="200"/>
        <w:jc w:val="left"/>
        <w:rPr>
          <w:sz w:val="24"/>
          <w:szCs w:val="24"/>
        </w:rPr>
      </w:pPr>
      <w:r>
        <w:rPr>
          <w:rFonts w:eastAsia="Arial"/>
          <w:color w:val="000000"/>
          <w:sz w:val="24"/>
          <w:szCs w:val="24"/>
        </w:rPr>
        <w:t>provide sufficient information to allow the Appropriate Authority to understand the implications on the Supplier Group’s UK Public Sector Business and CNI agreements listed pursuant to Annex 1 if the Supplier or another member of the Supplier Group is subj</w:t>
      </w:r>
      <w:r>
        <w:rPr>
          <w:rFonts w:eastAsia="Arial"/>
          <w:color w:val="000000"/>
          <w:sz w:val="24"/>
          <w:szCs w:val="24"/>
        </w:rPr>
        <w:t>ect to an Insolvency Event;</w:t>
      </w:r>
    </w:p>
    <w:p w14:paraId="2B69B05E" w14:textId="77777777" w:rsidR="003D35C2" w:rsidRDefault="00B33D10">
      <w:pPr>
        <w:numPr>
          <w:ilvl w:val="1"/>
          <w:numId w:val="4"/>
        </w:numPr>
        <w:pBdr>
          <w:top w:val="nil"/>
          <w:left w:val="nil"/>
          <w:bottom w:val="nil"/>
          <w:right w:val="nil"/>
          <w:between w:val="nil"/>
        </w:pBdr>
        <w:spacing w:before="100" w:after="200"/>
        <w:jc w:val="left"/>
        <w:rPr>
          <w:sz w:val="24"/>
          <w:szCs w:val="24"/>
        </w:rPr>
      </w:pPr>
      <w:r>
        <w:rPr>
          <w:rFonts w:eastAsia="Arial"/>
          <w:color w:val="000000"/>
          <w:sz w:val="24"/>
          <w:szCs w:val="24"/>
        </w:rPr>
        <w:t>ensure that the information is presented so as to provide a simple, effective and easily understood overview of the Supplier Group; and</w:t>
      </w:r>
    </w:p>
    <w:p w14:paraId="109FE0AA" w14:textId="77777777" w:rsidR="003D35C2" w:rsidRDefault="00B33D10">
      <w:pPr>
        <w:numPr>
          <w:ilvl w:val="1"/>
          <w:numId w:val="4"/>
        </w:numPr>
        <w:pBdr>
          <w:top w:val="nil"/>
          <w:left w:val="nil"/>
          <w:bottom w:val="nil"/>
          <w:right w:val="nil"/>
          <w:between w:val="nil"/>
        </w:pBdr>
        <w:spacing w:before="100" w:after="200"/>
        <w:jc w:val="left"/>
        <w:rPr>
          <w:sz w:val="24"/>
          <w:szCs w:val="24"/>
        </w:rPr>
      </w:pPr>
      <w:r>
        <w:rPr>
          <w:rFonts w:eastAsia="Arial"/>
          <w:color w:val="000000"/>
          <w:sz w:val="24"/>
          <w:szCs w:val="24"/>
        </w:rPr>
        <w:t xml:space="preserve">provide full details of the importance of each member of the Supplier Group to the Supplier </w:t>
      </w:r>
      <w:r>
        <w:rPr>
          <w:rFonts w:eastAsia="Arial"/>
          <w:color w:val="000000"/>
          <w:sz w:val="24"/>
          <w:szCs w:val="24"/>
        </w:rPr>
        <w:t>Group’s UK Public Sector Business and CNI agreements listed pursuant to Annex 1 and the dependencies between each.</w:t>
      </w:r>
    </w:p>
    <w:p w14:paraId="607A9D6B" w14:textId="77777777" w:rsidR="003D35C2" w:rsidRDefault="00B33D10">
      <w:pPr>
        <w:pBdr>
          <w:top w:val="nil"/>
          <w:left w:val="nil"/>
          <w:bottom w:val="nil"/>
          <w:right w:val="nil"/>
          <w:between w:val="nil"/>
        </w:pBdr>
        <w:spacing w:before="100" w:after="200"/>
        <w:ind w:left="720"/>
        <w:jc w:val="left"/>
        <w:rPr>
          <w:rFonts w:eastAsia="Arial"/>
          <w:color w:val="000000"/>
          <w:sz w:val="24"/>
          <w:szCs w:val="24"/>
        </w:rPr>
      </w:pPr>
      <w:r>
        <w:br w:type="page"/>
      </w:r>
    </w:p>
    <w:p w14:paraId="5AF5EC88" w14:textId="77777777" w:rsidR="003D35C2" w:rsidRDefault="00B33D10" w:rsidP="00091A17">
      <w:pPr>
        <w:pBdr>
          <w:top w:val="nil"/>
          <w:left w:val="nil"/>
          <w:bottom w:val="nil"/>
          <w:right w:val="nil"/>
          <w:between w:val="nil"/>
        </w:pBdr>
        <w:spacing w:before="100" w:after="300"/>
        <w:ind w:left="0"/>
        <w:jc w:val="center"/>
        <w:rPr>
          <w:rFonts w:eastAsia="Arial"/>
          <w:b/>
          <w:smallCaps/>
          <w:color w:val="000000"/>
          <w:sz w:val="24"/>
          <w:szCs w:val="24"/>
        </w:rPr>
      </w:pPr>
      <w:r>
        <w:rPr>
          <w:rFonts w:eastAsia="Arial"/>
          <w:b/>
          <w:smallCaps/>
          <w:color w:val="000000"/>
          <w:sz w:val="24"/>
          <w:szCs w:val="24"/>
        </w:rPr>
        <w:lastRenderedPageBreak/>
        <w:t>ANNEX 3: FINANCIAL INFORMATION AND COMMENTARY</w:t>
      </w:r>
    </w:p>
    <w:p w14:paraId="2780155E" w14:textId="77777777" w:rsidR="003D35C2" w:rsidRDefault="00B33D10">
      <w:pPr>
        <w:numPr>
          <w:ilvl w:val="0"/>
          <w:numId w:val="3"/>
        </w:numPr>
        <w:pBdr>
          <w:top w:val="nil"/>
          <w:left w:val="nil"/>
          <w:bottom w:val="nil"/>
          <w:right w:val="nil"/>
          <w:between w:val="nil"/>
        </w:pBdr>
        <w:spacing w:before="100" w:after="200"/>
        <w:jc w:val="left"/>
        <w:rPr>
          <w:sz w:val="24"/>
          <w:szCs w:val="24"/>
        </w:rPr>
      </w:pPr>
      <w:r>
        <w:rPr>
          <w:rFonts w:eastAsia="Arial"/>
          <w:color w:val="000000"/>
          <w:sz w:val="24"/>
          <w:szCs w:val="24"/>
        </w:rPr>
        <w:t>The Supplier shall:</w:t>
      </w:r>
    </w:p>
    <w:p w14:paraId="77C08991" w14:textId="77777777" w:rsidR="003D35C2" w:rsidRDefault="00B33D10">
      <w:pPr>
        <w:numPr>
          <w:ilvl w:val="1"/>
          <w:numId w:val="3"/>
        </w:numPr>
        <w:pBdr>
          <w:top w:val="nil"/>
          <w:left w:val="nil"/>
          <w:bottom w:val="nil"/>
          <w:right w:val="nil"/>
          <w:between w:val="nil"/>
        </w:pBdr>
        <w:spacing w:before="100" w:after="200"/>
        <w:jc w:val="left"/>
        <w:rPr>
          <w:sz w:val="24"/>
          <w:szCs w:val="24"/>
        </w:rPr>
      </w:pPr>
      <w:r>
        <w:rPr>
          <w:rFonts w:eastAsia="Arial"/>
          <w:color w:val="000000"/>
          <w:sz w:val="24"/>
          <w:szCs w:val="24"/>
        </w:rPr>
        <w:t>provide sufficient financial information for the Supplier Group level, contracting operating entities level, and shared services entities’ level to allow the Appropriate Authority to understand the current financial interconnectedness of the Supplier Group</w:t>
      </w:r>
      <w:r>
        <w:rPr>
          <w:rFonts w:eastAsia="Arial"/>
          <w:color w:val="000000"/>
          <w:sz w:val="24"/>
          <w:szCs w:val="24"/>
        </w:rPr>
        <w:t xml:space="preserve"> and the current performance of the Supplier as a standalone entity; and</w:t>
      </w:r>
    </w:p>
    <w:p w14:paraId="306A7863" w14:textId="77777777" w:rsidR="003D35C2" w:rsidRDefault="00B33D10">
      <w:pPr>
        <w:numPr>
          <w:ilvl w:val="1"/>
          <w:numId w:val="3"/>
        </w:numPr>
        <w:pBdr>
          <w:top w:val="nil"/>
          <w:left w:val="nil"/>
          <w:bottom w:val="nil"/>
          <w:right w:val="nil"/>
          <w:between w:val="nil"/>
        </w:pBdr>
        <w:spacing w:before="100" w:after="200"/>
        <w:jc w:val="left"/>
        <w:rPr>
          <w:sz w:val="24"/>
          <w:szCs w:val="24"/>
        </w:rPr>
      </w:pPr>
      <w:r>
        <w:rPr>
          <w:rFonts w:eastAsia="Arial"/>
          <w:color w:val="000000"/>
          <w:sz w:val="24"/>
          <w:szCs w:val="24"/>
        </w:rPr>
        <w:t>ensure that the information is presented in a simple, effective and easily understood manner.</w:t>
      </w:r>
    </w:p>
    <w:p w14:paraId="7F99396A" w14:textId="77777777" w:rsidR="003D35C2" w:rsidRDefault="00B33D10">
      <w:pPr>
        <w:numPr>
          <w:ilvl w:val="1"/>
          <w:numId w:val="3"/>
        </w:numPr>
        <w:pBdr>
          <w:top w:val="nil"/>
          <w:left w:val="nil"/>
          <w:bottom w:val="nil"/>
          <w:right w:val="nil"/>
          <w:between w:val="nil"/>
        </w:pBdr>
        <w:spacing w:after="0"/>
        <w:jc w:val="left"/>
        <w:rPr>
          <w:sz w:val="24"/>
          <w:szCs w:val="24"/>
        </w:rPr>
      </w:pPr>
      <w:r>
        <w:rPr>
          <w:rFonts w:eastAsia="Arial"/>
          <w:color w:val="000000"/>
          <w:sz w:val="24"/>
          <w:szCs w:val="24"/>
        </w:rPr>
        <w:t>For the avoidance of doubt the financial information to be provided pursuant to Paragraph</w:t>
      </w:r>
      <w:r>
        <w:rPr>
          <w:rFonts w:eastAsia="Arial"/>
          <w:color w:val="000000"/>
          <w:sz w:val="24"/>
          <w:szCs w:val="24"/>
        </w:rPr>
        <w:t xml:space="preserve"> 1 of this Annex 3 should be based on the most recent audited accounts for the relevant entities (or interim accounts where available) updated for any material changes since the Accounting Reference Date provided that such accounts are available in a reaso</w:t>
      </w:r>
      <w:r>
        <w:rPr>
          <w:rFonts w:eastAsia="Arial"/>
          <w:color w:val="000000"/>
          <w:sz w:val="24"/>
          <w:szCs w:val="24"/>
        </w:rPr>
        <w:t>nable timeframe to allow the Supplier to comply with its obligations under this Schedule.  If such accounts are not available in that timeframe, to the extent permitted by Law financial information should be based on unpublished unaudited accounts or manag</w:t>
      </w:r>
      <w:r>
        <w:rPr>
          <w:rFonts w:eastAsia="Arial"/>
          <w:color w:val="000000"/>
          <w:sz w:val="24"/>
          <w:szCs w:val="24"/>
        </w:rPr>
        <w:t>ement accounts (disclosure of which to the Appropriate Authority remains protected by confidentiality).</w:t>
      </w:r>
    </w:p>
    <w:p w14:paraId="343C9457" w14:textId="77777777" w:rsidR="003D35C2" w:rsidRDefault="00B33D10">
      <w:pPr>
        <w:ind w:firstLine="1418"/>
        <w:rPr>
          <w:color w:val="000000"/>
          <w:sz w:val="24"/>
          <w:szCs w:val="24"/>
        </w:rPr>
      </w:pPr>
      <w:r>
        <w:rPr>
          <w:sz w:val="24"/>
          <w:szCs w:val="24"/>
        </w:rPr>
        <w:t xml:space="preserve">     </w:t>
      </w:r>
    </w:p>
    <w:p w14:paraId="131398C3" w14:textId="77777777" w:rsidR="003D35C2" w:rsidRDefault="003D35C2">
      <w:pPr>
        <w:ind w:left="0"/>
        <w:rPr>
          <w:color w:val="000000"/>
          <w:sz w:val="24"/>
          <w:szCs w:val="24"/>
        </w:rPr>
      </w:pPr>
    </w:p>
    <w:sectPr w:rsidR="003D35C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4065" w14:textId="77777777" w:rsidR="00B33D10" w:rsidRDefault="00B33D10">
      <w:pPr>
        <w:spacing w:after="0"/>
      </w:pPr>
      <w:r>
        <w:separator/>
      </w:r>
    </w:p>
  </w:endnote>
  <w:endnote w:type="continuationSeparator" w:id="0">
    <w:p w14:paraId="1548BBC6" w14:textId="77777777" w:rsidR="00B33D10" w:rsidRDefault="00B33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BB56" w14:textId="77777777" w:rsidR="003D35C2" w:rsidRDefault="003D35C2">
    <w:pPr>
      <w:tabs>
        <w:tab w:val="center" w:pos="4513"/>
        <w:tab w:val="right" w:pos="9026"/>
      </w:tabs>
      <w:spacing w:after="0"/>
      <w:ind w:left="0"/>
      <w:rPr>
        <w:rFonts w:ascii="Calibri" w:eastAsia="Calibri" w:hAnsi="Calibri" w:cs="Calibri"/>
        <w:color w:val="A6A6A6"/>
      </w:rPr>
    </w:pPr>
  </w:p>
  <w:p w14:paraId="481BBF1D" w14:textId="77777777" w:rsidR="003D35C2" w:rsidRDefault="00B33D1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RM6361 </w:t>
    </w:r>
    <w:r>
      <w:rPr>
        <w:sz w:val="20"/>
        <w:szCs w:val="20"/>
      </w:rPr>
      <w:t xml:space="preserve">Multifunctional Devices (MFDs), </w:t>
    </w:r>
    <w:proofErr w:type="spellStart"/>
    <w:r>
      <w:rPr>
        <w:sz w:val="20"/>
        <w:szCs w:val="20"/>
      </w:rPr>
      <w:t>GovPrint</w:t>
    </w:r>
    <w:proofErr w:type="spellEnd"/>
    <w:r>
      <w:rPr>
        <w:sz w:val="20"/>
        <w:szCs w:val="20"/>
      </w:rPr>
      <w:t xml:space="preserve"> Hardware, Managed Print Services and Digital Workflow Software Services</w:t>
    </w:r>
  </w:p>
  <w:p w14:paraId="6B7F9273" w14:textId="77777777" w:rsidR="003D35C2" w:rsidRDefault="00B33D1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091A17">
      <w:rPr>
        <w:noProof/>
        <w:color w:val="000000"/>
        <w:sz w:val="20"/>
        <w:szCs w:val="20"/>
      </w:rPr>
      <w:t>1</w:t>
    </w:r>
    <w:r>
      <w:rPr>
        <w:color w:val="000000"/>
        <w:sz w:val="20"/>
        <w:szCs w:val="20"/>
      </w:rPr>
      <w:fldChar w:fldCharType="end"/>
    </w:r>
  </w:p>
  <w:p w14:paraId="18223A98" w14:textId="77777777" w:rsidR="003D35C2" w:rsidRDefault="00B33D10">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0</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0CE70" w14:textId="77777777" w:rsidR="003D35C2" w:rsidRDefault="00B33D1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r>
    <w:r>
      <w:rPr>
        <w:color w:val="000000"/>
        <w:sz w:val="20"/>
        <w:szCs w:val="20"/>
      </w:rPr>
      <w:t xml:space="preserve">                                           </w:t>
    </w:r>
  </w:p>
  <w:p w14:paraId="005C7CBA" w14:textId="77777777" w:rsidR="003D35C2" w:rsidRDefault="00B33D1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77299D78" w14:textId="77777777" w:rsidR="003D35C2" w:rsidRDefault="00B33D1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28CB2" w14:textId="77777777" w:rsidR="00B33D10" w:rsidRDefault="00B33D10">
      <w:pPr>
        <w:spacing w:after="0"/>
      </w:pPr>
      <w:r>
        <w:separator/>
      </w:r>
    </w:p>
  </w:footnote>
  <w:footnote w:type="continuationSeparator" w:id="0">
    <w:p w14:paraId="298AF78A" w14:textId="77777777" w:rsidR="00B33D10" w:rsidRDefault="00B33D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FA50" w14:textId="77777777" w:rsidR="003D35C2" w:rsidRDefault="00B33D10">
    <w:pPr>
      <w:tabs>
        <w:tab w:val="center" w:pos="4513"/>
        <w:tab w:val="right" w:pos="9026"/>
      </w:tabs>
      <w:spacing w:after="0"/>
      <w:ind w:left="0"/>
      <w:jc w:val="left"/>
      <w:rPr>
        <w:sz w:val="20"/>
        <w:szCs w:val="20"/>
      </w:rPr>
    </w:pPr>
    <w:r>
      <w:rPr>
        <w:b/>
        <w:sz w:val="20"/>
        <w:szCs w:val="20"/>
      </w:rPr>
      <w:t>Call-Off Schedule 24 (Corporate Resolution Planning)</w:t>
    </w:r>
  </w:p>
  <w:p w14:paraId="0913B651" w14:textId="77777777" w:rsidR="003D35C2" w:rsidRDefault="00B33D10">
    <w:pPr>
      <w:tabs>
        <w:tab w:val="center" w:pos="4513"/>
        <w:tab w:val="right" w:pos="9026"/>
      </w:tabs>
      <w:spacing w:after="0"/>
      <w:ind w:left="0"/>
      <w:jc w:val="left"/>
      <w:rPr>
        <w:sz w:val="20"/>
        <w:szCs w:val="20"/>
      </w:rPr>
    </w:pPr>
    <w:r>
      <w:rPr>
        <w:sz w:val="20"/>
        <w:szCs w:val="20"/>
      </w:rPr>
      <w:t>Call-Off Ref:</w:t>
    </w:r>
  </w:p>
  <w:p w14:paraId="54460071" w14:textId="77777777" w:rsidR="003D35C2" w:rsidRDefault="00B33D10">
    <w:pPr>
      <w:tabs>
        <w:tab w:val="center" w:pos="4513"/>
        <w:tab w:val="right" w:pos="9026"/>
      </w:tabs>
      <w:spacing w:after="0"/>
      <w:ind w:left="0"/>
      <w:jc w:val="left"/>
      <w:rPr>
        <w:sz w:val="20"/>
        <w:szCs w:val="20"/>
      </w:rPr>
    </w:pPr>
    <w:r>
      <w:rPr>
        <w:sz w:val="20"/>
        <w:szCs w:val="20"/>
      </w:rPr>
      <w:t>Crown Copyright 2023</w:t>
    </w:r>
  </w:p>
  <w:p w14:paraId="1C8BBFAD" w14:textId="77777777" w:rsidR="003D35C2" w:rsidRDefault="003D35C2">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4E6D"/>
    <w:multiLevelType w:val="multilevel"/>
    <w:tmpl w:val="D08E7B92"/>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1910213C"/>
    <w:multiLevelType w:val="multilevel"/>
    <w:tmpl w:val="5A04DD7C"/>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4CF35D70"/>
    <w:multiLevelType w:val="multilevel"/>
    <w:tmpl w:val="B8E0071C"/>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ED33CFB"/>
    <w:multiLevelType w:val="multilevel"/>
    <w:tmpl w:val="4A38AC2A"/>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5481FC7"/>
    <w:multiLevelType w:val="multilevel"/>
    <w:tmpl w:val="B350A656"/>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CDB21FB"/>
    <w:multiLevelType w:val="multilevel"/>
    <w:tmpl w:val="AA3EC22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1"/>
  </w:num>
  <w:num w:numId="3">
    <w:abstractNumId w:val="2"/>
  </w:num>
  <w:num w:numId="4">
    <w:abstractNumId w:val="0"/>
  </w:num>
  <w:num w:numId="5">
    <w:abstractNumId w:val="5"/>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C2"/>
    <w:rsid w:val="00091A17"/>
    <w:rsid w:val="003D35C2"/>
    <w:rsid w:val="00B33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125A5"/>
  <w15:docId w15:val="{A38E032E-6762-495C-A4E4-14830EA0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tabs>
        <w:tab w:val="clear" w:pos="3600"/>
        <w:tab w:val="left" w:pos="720"/>
        <w:tab w:val="left" w:pos="2523"/>
        <w:tab w:val="num" w:pos="4320"/>
      </w:tabs>
      <w:overflowPunct/>
      <w:autoSpaceDE/>
      <w:autoSpaceDN/>
      <w:adjustRightInd/>
      <w:spacing w:before="100" w:after="200"/>
      <w:ind w:left="4320"/>
      <w:jc w:val="left"/>
      <w:textAlignment w:val="auto"/>
    </w:pPr>
    <w:rPr>
      <w:rFonts w:cs="Times New Roman"/>
      <w:sz w:val="24"/>
      <w:szCs w:val="24"/>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a3SJngbq6FAKcn7vGXtVu8hUFA==">CgMxLjAyCGguaWh2NjM2MghoLmdqZGd4czIJaC4yM2NrdnZkMgloLjFiYW9uNm0yCWguM3ZhYzV1ZjIJaC4zMmhpb3F6OAByITFpRG1Fdmd5NEZ4cnZxa1lLaFkwZ1ZNVkdSSmkyczJhTQ==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3384</Words>
  <Characters>19290</Characters>
  <Application>Microsoft Office Word</Application>
  <DocSecurity>0</DocSecurity>
  <Lines>160</Lines>
  <Paragraphs>45</Paragraphs>
  <ScaleCrop>false</ScaleCrop>
  <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Leila Lynch</cp:lastModifiedBy>
  <cp:revision>2</cp:revision>
  <dcterms:created xsi:type="dcterms:W3CDTF">2025-02-05T14:54:00Z</dcterms:created>
  <dcterms:modified xsi:type="dcterms:W3CDTF">2025-02-05T14:54:00Z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